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Cs/>
          <w:color w:val="auto"/>
          <w:spacing w:val="20"/>
          <w:sz w:val="72"/>
          <w:szCs w:val="72"/>
          <w:highlight w:val="none"/>
        </w:rPr>
      </w:pPr>
      <w:r/>
      <w:bookmarkStart w:id="1" w:name="_Hlk192713293"/>
      <w:r>
        <w:rPr>
          <w:rFonts w:hint="eastAsia" w:ascii="宋体" w:hAnsi="宋体" w:eastAsia="宋体" w:cs="宋体"/>
          <w:bCs/>
          <w:color w:val="auto"/>
          <w:spacing w:val="20"/>
          <w:sz w:val="72"/>
          <w:szCs w:val="72"/>
          <w:highlight w:val="none"/>
        </w:rPr>
        <w:t xml:space="preserve">泰州市政府采购</w:t>
      </w:r>
      <w:r/>
    </w:p>
    <w:p>
      <w:pPr>
        <w:jc w:val="center"/>
        <w:spacing w:line="360" w:lineRule="auto"/>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spacing w:line="360" w:lineRule="auto"/>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公开</w:t>
      </w:r>
      <w:bookmarkEnd w:id="1"/>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Cs/>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61"/>
        <w:ind w:firstLine="568"/>
        <w:rPr>
          <w:rFonts w:hint="eastAsia" w:hAnsi="宋体" w:cs="宋体"/>
          <w:color w:val="auto"/>
          <w:highlight w:val="none"/>
        </w:rPr>
      </w:pPr>
      <w:r>
        <w:rPr>
          <w:rFonts w:hint="eastAsia" w:hAnsi="宋体" w:cs="宋体"/>
          <w:color w:val="auto"/>
          <w:highlight w:val="none"/>
        </w:rPr>
      </w:r>
      <w:r/>
    </w:p>
    <w:p>
      <w:pPr>
        <w:pStyle w:val="1061"/>
        <w:ind w:firstLine="568"/>
        <w:rPr>
          <w:rFonts w:hint="eastAsia" w:hAnsi="宋体" w:cs="宋体"/>
          <w:color w:val="auto"/>
          <w:highlight w:val="none"/>
        </w:rPr>
      </w:pPr>
      <w:r>
        <w:rPr>
          <w:rFonts w:hint="eastAsia" w:hAnsi="宋体" w:cs="宋体"/>
          <w:color w:val="auto"/>
          <w:highlight w:val="none"/>
        </w:rPr>
      </w:r>
      <w:r/>
    </w:p>
    <w:p>
      <w:pPr>
        <w:pStyle w:val="1061"/>
        <w:ind w:firstLine="568"/>
        <w:rPr>
          <w:rFonts w:hint="eastAsia" w:hAnsi="宋体" w:cs="宋体"/>
          <w:color w:val="auto"/>
          <w:highlight w:val="none"/>
        </w:rPr>
      </w:pPr>
      <w:r>
        <w:rPr>
          <w:rFonts w:hint="eastAsia" w:hAnsi="宋体" w:cs="宋体"/>
          <w:color w:val="auto"/>
          <w:highlight w:val="none"/>
        </w:rPr>
      </w:r>
      <w:r/>
    </w:p>
    <w:p>
      <w:pPr>
        <w:ind w:firstLine="419"/>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rPr>
        <w:t xml:space="preserve">编号：</w:t>
      </w:r>
      <w:r>
        <w:rPr>
          <w:rFonts w:hint="eastAsia" w:ascii="宋体" w:hAnsi="宋体" w:eastAsia="宋体" w:cs="宋体"/>
          <w:b/>
          <w:bCs/>
          <w:color w:val="auto"/>
          <w:sz w:val="28"/>
          <w:szCs w:val="28"/>
          <w:highlight w:val="none"/>
          <w:lang w:eastAsia="zh-CN"/>
        </w:rPr>
        <w:t xml:space="preserve">JSZC-321202-JXCG-G2025-0106</w:t>
      </w:r>
      <w:r/>
    </w:p>
    <w:p>
      <w:pPr>
        <w:ind w:left="1960" w:hanging="1541"/>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园区街道道路和区域绿化养护</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采购人：泰州市海陵区人民政府京泰路街道办事处</w:t>
      </w:r>
      <w:r/>
    </w:p>
    <w:p>
      <w:pPr>
        <w:ind w:firstLine="41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采购代理机构：江苏建协全过程工程咨询有限公司</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2025年12月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4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417477665"/>
      <w:r/>
      <w:bookmarkEnd w:id="4"/>
      <w:r/>
      <w:bookmarkStart w:id="5" w:name="_Toc228679947"/>
      <w:r/>
      <w:bookmarkEnd w:id="5"/>
      <w:r/>
      <w:bookmarkStart w:id="6" w:name="_Toc258329824"/>
      <w:r/>
      <w:bookmarkEnd w:id="6"/>
      <w:r>
        <w:rPr>
          <w:rFonts w:hint="eastAsia" w:ascii="宋体" w:hAnsi="宋体" w:eastAsia="宋体" w:cs="宋体"/>
          <w:b/>
          <w:color w:val="auto"/>
          <w:spacing w:val="15"/>
          <w:sz w:val="32"/>
          <w:szCs w:val="32"/>
          <w:highlight w:val="none"/>
        </w:rPr>
        <w:t xml:space="preserve">招标公告</w:t>
      </w: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园区街道道路和区域绿化养护JSZC-321202-JXCG-G2025-0106</w:t>
      </w:r>
      <w:r>
        <w:rPr>
          <w:rFonts w:hint="eastAsia" w:ascii="宋体" w:hAnsi="宋体" w:eastAsia="宋体" w:cs="宋体"/>
          <w:color w:val="auto"/>
          <w:sz w:val="24"/>
          <w:szCs w:val="24"/>
          <w:highlight w:val="none"/>
        </w:rPr>
        <w:t xml:space="preserve">招标项目的潜在投标人应在江苏政府采购“苏采云”系统获取招标文件，并于2026-1-2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06"/>
        <w:spacing w:before="0" w:after="0" w:line="500" w:lineRule="exact"/>
        <w:rPr>
          <w:rFonts w:hint="eastAsia" w:ascii="宋体" w:hAnsi="宋体" w:cs="宋体"/>
          <w:b w:val="0"/>
          <w:color w:val="auto"/>
          <w:sz w:val="24"/>
          <w:szCs w:val="24"/>
          <w:highlight w:val="none"/>
        </w:rPr>
      </w:pPr>
      <w:r/>
      <w:bookmarkStart w:id="7" w:name="_Toc28359079"/>
      <w:r/>
      <w:bookmarkStart w:id="8" w:name="_Toc28359002"/>
      <w:r/>
      <w:bookmarkStart w:id="9" w:name="_Toc35393621"/>
      <w:r/>
      <w:bookmarkStart w:id="10" w:name="_Toc35393790"/>
      <w:r/>
      <w:bookmarkStart w:id="11" w:name="_Hlk24379207"/>
      <w:r>
        <w:rPr>
          <w:rFonts w:hint="eastAsia" w:ascii="宋体" w:hAnsi="宋体" w:cs="宋体"/>
          <w:b w:val="0"/>
          <w:color w:val="auto"/>
          <w:sz w:val="24"/>
          <w:szCs w:val="24"/>
          <w:highlight w:val="none"/>
        </w:rPr>
        <w:t xml:space="preserve">一、项目基本情况</w:t>
      </w:r>
      <w:bookmarkEnd w:id="7"/>
      <w:r/>
      <w:bookmarkEnd w:id="8"/>
      <w:r/>
      <w:bookmarkEnd w:id="9"/>
      <w:r/>
      <w:bookmarkEnd w:id="10"/>
      <w:r/>
      <w:r/>
    </w:p>
    <w:p>
      <w:pPr>
        <w:ind w:firstLine="488"/>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JSZC-321202-JXCG-G2025-0106</w:t>
      </w:r>
      <w:r/>
    </w:p>
    <w:p>
      <w:pPr>
        <w:ind w:firstLine="488"/>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lang w:eastAsia="zh-CN"/>
        </w:rPr>
        <w:t xml:space="preserve">园区街道道路和区域绿化养护</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预算金额：700</w:t>
      </w:r>
      <w:r>
        <w:rPr>
          <w:rFonts w:hint="eastAsia" w:ascii="宋体" w:hAnsi="宋体" w:eastAsia="宋体" w:cs="宋体"/>
          <w:color w:val="auto"/>
          <w:sz w:val="24"/>
          <w:highlight w:val="none"/>
        </w:rPr>
        <w:t xml:space="preserve">万元（一标段：208万元，二标段：257万元，</w:t>
      </w:r>
      <w:r>
        <w:rPr>
          <w:rFonts w:hint="eastAsia" w:ascii="宋体" w:hAnsi="宋体" w:eastAsia="宋体" w:cs="宋体"/>
          <w:color w:val="auto"/>
          <w:sz w:val="24"/>
          <w:highlight w:val="none"/>
          <w:lang w:val="en-US" w:eastAsia="zh-CN"/>
        </w:rPr>
        <w:t xml:space="preserve">三标段</w:t>
      </w:r>
      <w:r>
        <w:rPr>
          <w:rFonts w:hint="eastAsia" w:ascii="宋体" w:hAnsi="宋体" w:eastAsia="宋体" w:cs="宋体"/>
          <w:color w:val="auto"/>
          <w:sz w:val="24"/>
          <w:highlight w:val="none"/>
        </w:rPr>
        <w:t xml:space="preserve">：235万元）</w:t>
      </w:r>
      <w:r/>
    </w:p>
    <w:p>
      <w:pPr>
        <w:ind w:firstLine="488"/>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bookmarkStart w:id="12" w:name="_Hlk193182375"/>
      <w:r>
        <w:rPr>
          <w:rFonts w:hint="eastAsia" w:ascii="宋体" w:hAnsi="宋体" w:eastAsia="宋体" w:cs="宋体"/>
          <w:color w:val="auto"/>
          <w:sz w:val="24"/>
          <w:highlight w:val="none"/>
        </w:rPr>
        <w:t xml:space="preserve">一标段176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595492万元（两年）、二标段219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172067万元（两年）</w:t>
      </w:r>
      <w:bookmarkEnd w:id="12"/>
      <w:r>
        <w:rPr>
          <w:rFonts w:hint="eastAsia" w:ascii="宋体" w:hAnsi="宋体" w:eastAsia="宋体" w:cs="宋体"/>
          <w:color w:val="auto"/>
          <w:sz w:val="24"/>
          <w:highlight w:val="none"/>
        </w:rPr>
        <w:t xml:space="preserve">、三标段199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286465万元（两年）</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采购需求：区域范围内绿化养护服务，具体详见第三章采购需求及招标控制价清单。</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18"/>
          <w:highlight w:val="none"/>
        </w:rPr>
        <w:t xml:space="preserve">合同履行期限：</w:t>
      </w:r>
      <w:r>
        <w:rPr>
          <w:rFonts w:hint="eastAsia" w:ascii="宋体" w:hAnsi="宋体" w:eastAsia="宋体" w:cs="宋体"/>
          <w:color w:val="auto"/>
          <w:sz w:val="24"/>
          <w:szCs w:val="24"/>
          <w:highlight w:val="none"/>
        </w:rPr>
        <w:t xml:space="preserve">两年。</w:t>
      </w:r>
      <w:r/>
    </w:p>
    <w:p>
      <w:pPr>
        <w:pStyle w:val="1030"/>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06"/>
        <w:spacing w:before="0" w:after="0" w:line="500" w:lineRule="exact"/>
        <w:rPr>
          <w:rFonts w:hint="eastAsia" w:ascii="宋体" w:hAnsi="宋体" w:cs="宋体"/>
          <w:b w:val="0"/>
          <w:color w:val="auto"/>
          <w:sz w:val="24"/>
          <w:szCs w:val="24"/>
          <w:highlight w:val="none"/>
        </w:rPr>
      </w:pPr>
      <w:r/>
      <w:bookmarkStart w:id="13" w:name="_Toc28359003"/>
      <w:r/>
      <w:bookmarkStart w:id="14" w:name="_Toc35393791"/>
      <w:r/>
      <w:bookmarkStart w:id="15" w:name="_Toc35393622"/>
      <w:r/>
      <w:bookmarkStart w:id="16" w:name="_Toc28359080"/>
      <w:r>
        <w:rPr>
          <w:rFonts w:hint="eastAsia" w:ascii="宋体" w:hAnsi="宋体" w:cs="宋体"/>
          <w:b w:val="0"/>
          <w:color w:val="auto"/>
          <w:sz w:val="24"/>
          <w:szCs w:val="24"/>
          <w:highlight w:val="none"/>
        </w:rPr>
        <w:t xml:space="preserve">二、申请人的资格要求：</w:t>
      </w:r>
      <w:bookmarkEnd w:id="13"/>
      <w:r/>
      <w:bookmarkEnd w:id="14"/>
      <w:r/>
      <w:bookmarkEnd w:id="15"/>
      <w:r/>
      <w:bookmarkEnd w:id="16"/>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8"/>
        <w:spacing w:line="50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p>
    <w:p>
      <w:pPr>
        <w:ind w:firstLine="7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本项目支持和适用支持节能环保产品（财库〔2019〕9号）、（财库〔2019〕19号）、（财库〔2019〕18号）；中小微企业（财库〔2</w:t>
      </w:r>
      <w:r>
        <w:rPr>
          <w:rFonts w:hint="eastAsia" w:ascii="宋体" w:hAnsi="宋体" w:eastAsia="宋体" w:cs="宋体"/>
          <w:color w:val="auto"/>
          <w:sz w:val="24"/>
          <w:szCs w:val="24"/>
          <w:highlight w:val="none"/>
        </w:rPr>
        <w:t xml:space="preserve">020〕46号）、（苏财购〔2020〕52号）、（工信部联企业〔2011〕300号）；支持监狱企业（财库〔2014〕68号）；促进残疾人就业（财库〔2017〕141号）；落实《商品包装政府采购需求标准（试行）》、《快递包装政府采购需求标准（试行）》的相关政策；政府采购履约资金扶持等政策。本项目不专门面向中小企业采购，供应商为小微企业或监狱企业或残疾人福利性单位的，享受10%价格扣除。中小企业划分标准见《关于印发中小企业划型标准规定的通知》（工信部联企业[2011]300号）。本项目所属行业为其他未列明行业。</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（四）未被列入“信用中国”网站（www.creditchina.gov.cn）失信被执行人名单、重大税收违法失信主体和中国政府采购网（www.ccgp.gov.cn）政府采购严重违法失信行为记录名单。</w:t>
      </w:r>
      <w:r/>
    </w:p>
    <w:p>
      <w:pPr>
        <w:pStyle w:val="1006"/>
        <w:spacing w:before="0" w:after="0" w:line="500" w:lineRule="exact"/>
        <w:rPr>
          <w:rFonts w:hint="eastAsia" w:ascii="宋体" w:hAnsi="宋体" w:cs="宋体"/>
          <w:b w:val="0"/>
          <w:color w:val="auto"/>
          <w:sz w:val="24"/>
          <w:szCs w:val="24"/>
          <w:highlight w:val="none"/>
        </w:rPr>
      </w:pPr>
      <w:r/>
      <w:bookmarkStart w:id="19" w:name="_Toc35393792"/>
      <w:r/>
      <w:bookmarkStart w:id="20" w:name="_Toc35393623"/>
      <w:r>
        <w:rPr>
          <w:rFonts w:hint="eastAsia" w:ascii="宋体" w:hAnsi="宋体" w:cs="宋体"/>
          <w:b w:val="0"/>
          <w:color w:val="auto"/>
          <w:sz w:val="24"/>
          <w:szCs w:val="24"/>
          <w:highlight w:val="none"/>
        </w:rPr>
        <w:t xml:space="preserve">三、获取招标文件</w:t>
      </w:r>
      <w:bookmarkEnd w:id="17"/>
      <w:r/>
      <w:bookmarkEnd w:id="18"/>
      <w:r/>
      <w:bookmarkEnd w:id="19"/>
      <w:r/>
      <w:bookmarkEnd w:id="20"/>
      <w:r>
        <w:rPr>
          <w:rFonts w:hint="eastAsia" w:ascii="宋体" w:hAnsi="宋体" w:cs="宋体"/>
          <w:b w:val="0"/>
          <w:color w:val="auto"/>
          <w:sz w:val="24"/>
          <w:szCs w:val="24"/>
          <w:highlight w:val="none"/>
        </w:rPr>
        <w:t xml:space="preserve">：</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时间：自本公告发布之日起5个工作日。</w:t>
      </w:r>
      <w:r/>
    </w:p>
    <w:p>
      <w:pPr>
        <w:pStyle w:val="1006"/>
        <w:ind w:firstLine="480"/>
        <w:spacing w:before="0" w:after="0" w:line="500" w:lineRule="exact"/>
        <w:rPr>
          <w:rFonts w:hint="eastAsia" w:ascii="宋体" w:hAnsi="宋体" w:cs="宋体"/>
          <w:b w:val="0"/>
          <w:bCs w:val="0"/>
          <w:color w:val="auto"/>
          <w:sz w:val="24"/>
          <w:szCs w:val="24"/>
          <w:highlight w:val="none"/>
        </w:rPr>
      </w:pPr>
      <w:r/>
      <w:bookmarkStart w:id="21" w:name="_Toc28359082"/>
      <w:r/>
      <w:bookmarkStart w:id="22" w:name="_Toc28359005"/>
      <w:r/>
      <w:bookmarkStart w:id="23" w:name="_Toc35393793"/>
      <w:r/>
      <w:bookmarkStart w:id="24" w:name="_Toc35393624"/>
      <w:r>
        <w:rPr>
          <w:rFonts w:hint="eastAsia" w:ascii="宋体" w:hAnsi="宋体" w:cs="宋体"/>
          <w:b w:val="0"/>
          <w:bCs w:val="0"/>
          <w:color w:val="auto"/>
          <w:sz w:val="24"/>
          <w:szCs w:val="24"/>
          <w:highlight w:val="none"/>
        </w:rPr>
        <w:t xml:space="preserve">地点：江苏政府采购“苏采云”系统</w:t>
      </w:r>
      <w:r/>
    </w:p>
    <w:p>
      <w:pPr>
        <w:pStyle w:val="1006"/>
        <w:ind w:firstLine="480"/>
        <w:spacing w:before="0" w:after="0"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方式：供应商完成注册并办理CA证书后登录江苏政府采购“苏采云”系统下载本项目招标文件。</w:t>
      </w:r>
      <w:r/>
    </w:p>
    <w:p>
      <w:pPr>
        <w:pStyle w:val="1006"/>
        <w:ind w:firstLine="480"/>
        <w:spacing w:before="0" w:after="0"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售价：0.00元</w:t>
      </w:r>
      <w:r/>
    </w:p>
    <w:p>
      <w:pPr>
        <w:pStyle w:val="1006"/>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四、提交投标文件</w:t>
      </w:r>
      <w:bookmarkEnd w:id="21"/>
      <w:r/>
      <w:bookmarkEnd w:id="22"/>
      <w:r>
        <w:rPr>
          <w:rFonts w:hint="eastAsia" w:ascii="宋体" w:hAnsi="宋体" w:cs="宋体"/>
          <w:b w:val="0"/>
          <w:color w:val="auto"/>
          <w:sz w:val="24"/>
          <w:szCs w:val="24"/>
          <w:highlight w:val="none"/>
        </w:rPr>
        <w:t xml:space="preserve">截止时间、开标时间和地点</w:t>
      </w:r>
      <w:bookmarkEnd w:id="23"/>
      <w:r/>
      <w:bookmarkEnd w:id="24"/>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时间：2026年1月2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日9点00分（北京时间）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06"/>
        <w:spacing w:before="0" w:after="0" w:line="500" w:lineRule="exact"/>
        <w:rPr>
          <w:rFonts w:hint="eastAsia" w:ascii="宋体" w:hAnsi="宋体" w:cs="宋体"/>
          <w:b w:val="0"/>
          <w:color w:val="auto"/>
          <w:sz w:val="24"/>
          <w:szCs w:val="24"/>
          <w:highlight w:val="none"/>
        </w:rPr>
      </w:pPr>
      <w:r/>
      <w:bookmarkStart w:id="25" w:name="_Toc35393794"/>
      <w:r/>
      <w:bookmarkStart w:id="26" w:name="_Toc35393625"/>
      <w:r/>
      <w:bookmarkStart w:id="27" w:name="_Toc28359084"/>
      <w:r/>
      <w:bookmarkStart w:id="28" w:name="_Toc28359007"/>
      <w:r>
        <w:rPr>
          <w:rFonts w:hint="eastAsia" w:ascii="宋体" w:hAnsi="宋体" w:cs="宋体"/>
          <w:b w:val="0"/>
          <w:color w:val="auto"/>
          <w:sz w:val="24"/>
          <w:szCs w:val="24"/>
          <w:highlight w:val="none"/>
        </w:rPr>
        <w:t xml:space="preserve">五、公告期限</w:t>
      </w:r>
      <w:bookmarkEnd w:id="25"/>
      <w:r/>
      <w:bookmarkEnd w:id="26"/>
      <w:r/>
      <w:bookmarkEnd w:id="27"/>
      <w:r/>
      <w:bookmarkEnd w:id="28"/>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06"/>
        <w:spacing w:before="0" w:after="0" w:line="500" w:lineRule="exact"/>
        <w:rPr>
          <w:rFonts w:hint="eastAsia" w:ascii="宋体" w:hAnsi="宋体" w:cs="宋体"/>
          <w:b w:val="0"/>
          <w:color w:val="auto"/>
          <w:sz w:val="24"/>
          <w:szCs w:val="24"/>
          <w:highlight w:val="none"/>
        </w:rPr>
      </w:pPr>
      <w:r/>
      <w:bookmarkStart w:id="29" w:name="_Toc35393795"/>
      <w:r/>
      <w:bookmarkStart w:id="30" w:name="_Toc35393626"/>
      <w:r>
        <w:rPr>
          <w:rFonts w:hint="eastAsia" w:ascii="宋体" w:hAnsi="宋体" w:cs="宋体"/>
          <w:b w:val="0"/>
          <w:color w:val="auto"/>
          <w:sz w:val="24"/>
          <w:szCs w:val="24"/>
          <w:highlight w:val="none"/>
        </w:rPr>
        <w:t xml:space="preserve">六、其他补充事宜</w:t>
      </w:r>
      <w:bookmarkEnd w:id="29"/>
      <w:r/>
      <w:bookmarkEnd w:id="30"/>
      <w:r/>
      <w:r/>
    </w:p>
    <w:p>
      <w:pPr>
        <w:pStyle w:val="1006"/>
        <w:ind w:firstLine="480"/>
        <w:spacing w:before="0" w:after="0" w:line="500" w:lineRule="exact"/>
        <w:rPr>
          <w:rFonts w:hint="eastAsia" w:ascii="宋体" w:hAnsi="宋体" w:cs="宋体"/>
          <w:b w:val="0"/>
          <w:color w:val="auto"/>
          <w:sz w:val="24"/>
          <w:szCs w:val="24"/>
          <w:highlight w:val="none"/>
        </w:rPr>
      </w:pPr>
      <w:r/>
      <w:bookmarkStart w:id="31" w:name="_Toc28359008"/>
      <w:r/>
      <w:bookmarkStart w:id="32" w:name="_Toc35393627"/>
      <w:r/>
      <w:bookmarkStart w:id="33" w:name="_Toc28359085"/>
      <w:r/>
      <w:bookmarkStart w:id="34" w:name="_Toc35393796"/>
      <w:r>
        <w:rPr>
          <w:rFonts w:hint="eastAsia" w:ascii="宋体" w:hAnsi="宋体" w:cs="宋体"/>
          <w:b w:val="0"/>
          <w:color w:val="auto"/>
          <w:sz w:val="24"/>
          <w:szCs w:val="24"/>
          <w:highlight w:val="none"/>
        </w:rPr>
        <w:t xml:space="preserve">1.采购项目需要落实的政府采购政策</w:t>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政府采购促进中小企业发展</w:t>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政府采购支持监狱企业发展</w:t>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政府采购促进残疾人就业</w:t>
      </w:r>
      <w:r>
        <w:rPr>
          <w:rFonts w:hint="eastAsia" w:ascii="宋体" w:hAnsi="宋体" w:cs="宋体"/>
          <w:b w:val="0"/>
          <w:color w:val="auto"/>
          <w:sz w:val="24"/>
          <w:szCs w:val="24"/>
          <w:highlight w:val="none"/>
        </w:rPr>
        <w:tab/>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政府采购鼓励采购绿色节能环保产品</w:t>
      </w:r>
      <w:r/>
    </w:p>
    <w:p>
      <w:pPr>
        <w:pStyle w:val="1006"/>
        <w:ind w:firstLine="480"/>
        <w:spacing w:before="0" w:after="0" w:line="500" w:lineRule="exact"/>
        <w:rPr>
          <w:rFonts w:hint="eastAsia" w:ascii="宋体" w:hAnsi="宋体" w:cs="宋体"/>
          <w:color w:val="auto"/>
          <w:highlight w:val="none"/>
        </w:rPr>
      </w:pPr>
      <w:r>
        <w:rPr>
          <w:rFonts w:hint="eastAsia" w:ascii="宋体" w:hAnsi="宋体" w:cs="宋体"/>
          <w:b w:val="0"/>
          <w:color w:val="auto"/>
          <w:sz w:val="24"/>
          <w:szCs w:val="24"/>
          <w:highlight w:val="none"/>
        </w:rPr>
        <w:t xml:space="preserve">商品包装环保要求</w:t>
      </w:r>
      <w:r/>
    </w:p>
    <w:p>
      <w:pPr>
        <w:ind w:firstLine="5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2.本项目采用网上注册登记方式。潜在投标人访问电子招标投标交易平台的网络地址和方法：</w:t>
      </w:r>
      <w:r/>
    </w:p>
    <w:p>
      <w:pPr>
        <w:ind w:firstLine="5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5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500" w:lineRule="exact"/>
        <w:tabs>
          <w:tab w:val="left" w:pos="90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4.有关本次招标的事项若存在变动或修改，敬请及时关注“江苏政府采购网”、“泰州市政府采购网”发布的更正公告。</w:t>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5.本项目共三个标段，投标人可同时参与三个标段的投标，但只能中其中一个标段。开标、评标、定标按一标段、二标段、三标段的顺序进行。</w:t>
      </w:r>
      <w:bookmarkStart w:id="35" w:name="_Hlk193233595"/>
      <w:r>
        <w:rPr>
          <w:rFonts w:hint="eastAsia" w:ascii="宋体" w:hAnsi="宋体" w:cs="宋体"/>
          <w:b w:val="0"/>
          <w:color w:val="auto"/>
          <w:sz w:val="24"/>
          <w:szCs w:val="24"/>
          <w:highlight w:val="none"/>
        </w:rPr>
        <w:t xml:space="preserve">一、二标段中标人可参与后续标段的评审但不参与推荐中标候选人。</w:t>
      </w:r>
      <w:bookmarkEnd w:id="35"/>
      <w:r/>
      <w:r/>
    </w:p>
    <w:p>
      <w:pPr>
        <w:pStyle w:val="1006"/>
        <w:ind w:firstLine="480"/>
        <w:spacing w:before="0" w:after="0" w:line="50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6.投标人自行勘查现场，要求务必认真、仔细阅读合同条款，谨慎报价，严禁恶意竞争低价中标，一经中标，采购人将严格按照合同条款执行。</w:t>
      </w:r>
      <w:r/>
    </w:p>
    <w:p>
      <w:pPr>
        <w:pStyle w:val="1006"/>
        <w:ind w:firstLine="488"/>
        <w:keepLines w:val="0"/>
        <w:keepNext w:val="0"/>
        <w:spacing w:before="0" w:after="0"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7.在评标结束前，各投标人授权代表应保持手机畅通，以便及时澄清答疑。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8.如潜在投标人未按上述要求操作，将自行承担所产生的风险。</w:t>
      </w:r>
      <w:r/>
    </w:p>
    <w:p>
      <w:pPr>
        <w:pStyle w:val="1006"/>
        <w:spacing w:before="0" w:after="0" w:line="500" w:lineRule="exact"/>
        <w:rPr>
          <w:rFonts w:hint="eastAsia" w:ascii="宋体" w:hAnsi="宋体" w:cs="宋体"/>
          <w:b w:val="0"/>
          <w:color w:val="auto"/>
          <w:sz w:val="24"/>
          <w:szCs w:val="24"/>
          <w:highlight w:val="none"/>
        </w:rPr>
      </w:pPr>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31"/>
      <w:r/>
      <w:bookmarkEnd w:id="32"/>
      <w:r/>
      <w:bookmarkEnd w:id="33"/>
      <w:r/>
      <w:bookmarkEnd w:id="34"/>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单位名称：泰州市海陵区人民政府京泰路街道办事处  </w:t>
      </w:r>
      <w:r/>
    </w:p>
    <w:p>
      <w:pPr>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Style w:val="1163"/>
          <w:rFonts w:hint="eastAsia" w:ascii="宋体" w:hAnsi="宋体" w:eastAsia="宋体" w:cs="宋体"/>
          <w:color w:val="auto"/>
          <w:sz w:val="24"/>
          <w:szCs w:val="24"/>
          <w:highlight w:val="none"/>
        </w:rPr>
        <w:t xml:space="preserve">泰州市海陵区永吉路66号</w:t>
      </w:r>
      <w:r>
        <w:rPr>
          <w:rFonts w:hint="eastAsia" w:ascii="宋体" w:hAnsi="宋体" w:eastAsia="宋体" w:cs="宋体"/>
          <w:color w:val="auto"/>
          <w:sz w:val="24"/>
          <w:szCs w:val="24"/>
          <w:highlight w:val="none"/>
        </w:rPr>
        <w:t xml:space="preserve">　</w:t>
      </w:r>
      <w:r/>
    </w:p>
    <w:p>
      <w:pPr>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联系人：刘先生  </w:t>
      </w:r>
      <w:r/>
    </w:p>
    <w:p>
      <w:pPr>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6" w:name="_Toc28359086"/>
      <w:r/>
      <w:bookmarkStart w:id="37" w:name="_Toc28359009"/>
      <w:r>
        <w:rPr>
          <w:rStyle w:val="1163"/>
          <w:rFonts w:hint="eastAsia" w:ascii="宋体" w:hAnsi="宋体" w:eastAsia="宋体" w:cs="宋体"/>
          <w:color w:val="auto"/>
          <w:sz w:val="24"/>
          <w:szCs w:val="24"/>
          <w:highlight w:val="none"/>
        </w:rPr>
        <w:t xml:space="preserve">0523-86299608</w:t>
      </w:r>
      <w:r>
        <w:rPr>
          <w:rFonts w:hint="eastAsia" w:ascii="宋体" w:hAnsi="宋体" w:eastAsia="宋体" w:cs="宋体"/>
          <w:color w:val="auto"/>
          <w:sz w:val="24"/>
          <w:szCs w:val="24"/>
          <w:highlight w:val="none"/>
        </w:rPr>
        <w:t xml:space="preserve">    </w:t>
      </w:r>
      <w:r/>
    </w:p>
    <w:p>
      <w:pPr>
        <w:ind w:firstLine="731"/>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6"/>
      <w:r/>
      <w:bookmarkEnd w:id="37"/>
      <w:r/>
      <w:r/>
    </w:p>
    <w:p>
      <w:pPr>
        <w:ind w:firstLine="73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单位名称：江苏建协全过程工程咨询有限公司</w:t>
      </w:r>
      <w:r/>
    </w:p>
    <w:p>
      <w:pPr>
        <w:ind w:firstLine="73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单位地址：泰州市海陵区柳园文化商业街区B3栋</w:t>
      </w:r>
      <w:r/>
    </w:p>
    <w:p>
      <w:pPr>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联系人：张女士</w:t>
      </w:r>
      <w:r/>
    </w:p>
    <w:p>
      <w:pPr>
        <w:ind w:firstLine="73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8" w:name="_Toc28359087"/>
      <w:r/>
      <w:bookmarkStart w:id="39" w:name="_Toc28359010"/>
      <w:r>
        <w:rPr>
          <w:rFonts w:hint="eastAsia" w:ascii="宋体" w:hAnsi="宋体" w:eastAsia="宋体" w:cs="宋体"/>
          <w:color w:val="auto"/>
          <w:sz w:val="24"/>
          <w:szCs w:val="24"/>
          <w:highlight w:val="none"/>
        </w:rPr>
        <w:t xml:space="preserve">18752622068</w:t>
      </w:r>
      <w:r/>
    </w:p>
    <w:p>
      <w:pPr>
        <w:ind w:firstLine="73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8"/>
      <w:r/>
      <w:bookmarkEnd w:id="39"/>
      <w:r/>
      <w:r/>
    </w:p>
    <w:p>
      <w:pPr>
        <w:pStyle w:val="1033"/>
        <w:ind w:firstLine="731"/>
        <w:spacing w:line="500" w:lineRule="exact"/>
        <w:rPr>
          <w:rFonts w:hint="eastAsia" w:hAnsi="宋体" w:eastAsia="宋体" w:cs="宋体"/>
          <w:color w:val="auto"/>
          <w:highlight w:val="none"/>
        </w:rPr>
      </w:pPr>
      <w:r>
        <w:rPr>
          <w:rFonts w:hint="eastAsia" w:hAnsi="宋体" w:eastAsia="宋体" w:cs="宋体"/>
          <w:color w:val="auto"/>
          <w:sz w:val="24"/>
          <w:szCs w:val="24"/>
          <w:highlight w:val="none"/>
        </w:rPr>
        <w:t xml:space="preserve">项目联系人：张女士</w:t>
      </w:r>
      <w:r/>
    </w:p>
    <w:p>
      <w:pPr>
        <w:ind w:firstLine="731"/>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电　话：18752622068</w:t>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809"/>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76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65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园区街道道路和区域绿化养护</w:t>
            </w:r>
            <w:r/>
          </w:p>
        </w:tc>
      </w:tr>
      <w:tr>
        <w:trPr>
          <w:jc w:val="center"/>
          <w:trHeight w:val="421"/>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65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区域范围内绿化养护服务。</w:t>
            </w:r>
            <w:r/>
          </w:p>
        </w:tc>
      </w:tr>
      <w:tr>
        <w:trPr>
          <w:jc w:val="center"/>
          <w:trHeight w:val="427"/>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服务期限及服务地点</w:t>
            </w:r>
            <w:r/>
          </w:p>
        </w:tc>
        <w:tc>
          <w:tcPr>
            <w:tcW w:w="76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服务期限：两年。</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服务地点：海陵工业园区</w:t>
            </w:r>
            <w:r/>
          </w:p>
        </w:tc>
      </w:tr>
      <w:tr>
        <w:trPr>
          <w:jc w:val="center"/>
          <w:trHeight w:val="405"/>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限价</w:t>
            </w:r>
            <w:r/>
          </w:p>
        </w:tc>
        <w:tc>
          <w:tcPr>
            <w:tcW w:w="7654" w:type="dxa"/>
            <w:vAlign w:val="center"/>
            <w:textDirection w:val="lrTb"/>
            <w:noWrap w:val="false"/>
          </w:tcPr>
          <w:p>
            <w:pPr>
              <w:ind w:left="720" w:hanging="72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最高限价：一标段176.595492万元（两年）、二标段219.172067 万元（两年）、三标段199.286465 万元（两年）。</w:t>
            </w:r>
            <w:r/>
          </w:p>
          <w:p>
            <w:pPr>
              <w:rPr>
                <w:rFonts w:hint="eastAsia" w:ascii="宋体" w:hAnsi="宋体" w:eastAsia="宋体" w:cs="宋体"/>
                <w:color w:val="auto"/>
                <w:sz w:val="21"/>
                <w:szCs w:val="21"/>
                <w:highlight w:val="none"/>
              </w:rPr>
            </w:pPr>
            <w:r>
              <w:rPr>
                <w:rFonts w:hint="eastAsia" w:ascii="宋体" w:hAnsi="宋体" w:eastAsia="宋体" w:cs="宋体"/>
                <w:iCs/>
                <w:color w:val="auto"/>
                <w:sz w:val="24"/>
                <w:szCs w:val="24"/>
                <w:highlight w:val="none"/>
              </w:rPr>
              <w:t xml:space="preserve">投标报价不得超过招标文件规定的最高限价，否则按无效投标文件处理。</w:t>
            </w:r>
            <w:r/>
          </w:p>
        </w:tc>
      </w:tr>
      <w:tr>
        <w:trPr>
          <w:jc w:val="center"/>
          <w:trHeight w:val="912"/>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6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2.落实政府采购政策需满足的资格要求：本项目支持和适用支持节能环保产品（财库〔2019〕9号）、（财库〔2019〕19号）、（财库〔2019〕18号）；中小微企业（财库〔2</w:t>
            </w:r>
            <w:r>
              <w:rPr>
                <w:rFonts w:hint="eastAsia" w:ascii="宋体" w:hAnsi="宋体" w:eastAsia="宋体" w:cs="宋体"/>
                <w:color w:val="auto"/>
                <w:sz w:val="24"/>
                <w:szCs w:val="24"/>
                <w:highlight w:val="none"/>
              </w:rPr>
              <w:t xml:space="preserve">020〕46号）、（苏财购〔2020〕52号）、（工信部联企业〔2011〕300号）；支持监狱企业（财库〔2014〕68号）；促进残疾人就业（财库〔2017〕141号）；落实《商品包装政府采购需求标准（试行）》、《快递包装政府采购需求标准（试行）》的相关政策；政府采购履约资金扶持等政策。本项目不专门面向中小企业采购，供应商为小微企业或监狱企业或残疾人福利性单位的，享受10%价格扣除。中小企业划分标准见《关于印发中小企业划型标准规定的通知》（工信部联企业[2011]300号）。本项目所属行业为其他未列明行业。</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4.未被列入“信用中国”网站（www.creditchina.gov.cn）失信被执行人名单、重大税收违法失信主体和中国政府采购网（www.ccgp.gov.cn）政府采购严重违法失信行为记录名单。</w:t>
            </w:r>
            <w:r/>
          </w:p>
        </w:tc>
      </w:tr>
      <w:tr>
        <w:trPr>
          <w:jc w:val="center"/>
          <w:trHeight w:val="796"/>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 </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654" w:type="dxa"/>
            <w:vAlign w:val="center"/>
            <w:textDirection w:val="lrTb"/>
            <w:noWrap w:val="false"/>
          </w:tcPr>
          <w:p>
            <w:pPr>
              <w:rPr>
                <w:rFonts w:hint="eastAsia" w:ascii="宋体" w:hAnsi="宋体" w:eastAsia="宋体" w:cs="宋体"/>
                <w:color w:val="auto"/>
                <w:szCs w:val="24"/>
                <w:highlight w:val="none"/>
              </w:rPr>
            </w:pPr>
            <w:r>
              <w:rPr>
                <w:rFonts w:ascii="Wingdings 2" w:hAnsi="Wingdings 2" w:eastAsia="Wingdings 2" w:cs="Wingdings 2"/>
                <w:color w:val="auto"/>
                <w:highlight w:val="none"/>
              </w:rPr>
              <w:t xml:space="preserve">R</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口固定总价合同  □其他：/</w:t>
            </w:r>
            <w:r/>
          </w:p>
        </w:tc>
      </w:tr>
      <w:tr>
        <w:trPr>
          <w:jc w:val="center"/>
          <w:trHeight w:val="558"/>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Cs w:val="24"/>
                <w:highlight w:val="none"/>
              </w:rPr>
              <w:t xml:space="preserve">2020</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52号文件精神，本项目免收投标保证金。</w:t>
            </w:r>
            <w:r/>
          </w:p>
        </w:tc>
      </w:tr>
      <w:tr>
        <w:trPr>
          <w:jc w:val="center"/>
          <w:trHeight w:val="429"/>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2</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1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2</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p>
        </w:tc>
      </w:tr>
      <w:tr>
        <w:trPr>
          <w:jc w:val="center"/>
          <w:trHeight w:val="844"/>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11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金额：中标价的10% </w:t>
            </w:r>
            <w:r/>
          </w:p>
          <w:p>
            <w:pPr>
              <w:pStyle w:val="1018"/>
              <w:ind w:right="-18"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形式：转账、汇票、支票、本票、电汇、保证保险、保函等非现金形式，应按采购方的要求购买。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提交时间：收到中标通知书后签订合同前。</w:t>
            </w:r>
            <w:r/>
          </w:p>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退还时间：合同期结束且经双方验收合格后无息退还。</w:t>
            </w:r>
            <w:r/>
          </w:p>
        </w:tc>
      </w:tr>
      <w:tr>
        <w:trPr>
          <w:jc w:val="center"/>
          <w:trHeight w:val="571"/>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6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签订合同地点：泰州市海陵区人民政府京泰路街道办事处</w:t>
            </w:r>
            <w:r/>
          </w:p>
        </w:tc>
      </w:tr>
      <w:tr>
        <w:trPr>
          <w:jc w:val="center"/>
          <w:trHeight w:val="571"/>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654" w:type="dxa"/>
            <w:vAlign w:val="center"/>
            <w:textDirection w:val="lrTb"/>
            <w:noWrap w:val="false"/>
          </w:tcPr>
          <w:p>
            <w:pPr>
              <w:pStyle w:val="1018"/>
              <w:ind w:right="-117" w:firstLine="24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合同工期两年，第一年度考核、验收合格后付至合同价的40%(扣除暂列金额)，第二年度考核、验收合格后付至合同的的80%(扣除暂列金额)，审计结束、移交后付至审定价的100%。（本项目所涉及款项皆不计取利息）</w:t>
            </w:r>
            <w:r/>
          </w:p>
        </w:tc>
      </w:tr>
      <w:tr>
        <w:trPr>
          <w:jc w:val="center"/>
          <w:trHeight w:val="571"/>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7654" w:type="dxa"/>
            <w:vAlign w:val="center"/>
            <w:textDirection w:val="lrTb"/>
            <w:noWrap w:val="false"/>
          </w:tcPr>
          <w:p>
            <w:pPr>
              <w:pStyle w:val="1018"/>
              <w:ind w:right="-117" w:firstLine="240"/>
              <w:rPr>
                <w:rFonts w:hint="eastAsia" w:ascii="宋体" w:hAnsi="宋体" w:eastAsia="宋体" w:cs="宋体"/>
                <w:color w:val="auto"/>
                <w:szCs w:val="24"/>
                <w:highlight w:val="none"/>
                <w:u w:val="single"/>
              </w:rPr>
            </w:pPr>
            <w:r/>
            <w:bookmarkStart w:id="40" w:name="_Hlk137306965"/>
            <w:r>
              <w:rPr>
                <w:rFonts w:hint="eastAsia" w:ascii="宋体" w:hAnsi="宋体" w:eastAsia="宋体" w:cs="宋体"/>
                <w:color w:val="auto"/>
                <w:szCs w:val="24"/>
                <w:highlight w:val="none"/>
              </w:rPr>
              <w:t xml:space="preserve">1.中标人应严格按照泰州市海陵区人民政府京泰路街道办事处有关考核办法规定要求做好</w:t>
            </w:r>
            <w:bookmarkEnd w:id="40"/>
            <w:r>
              <w:rPr>
                <w:rFonts w:hint="eastAsia" w:ascii="宋体" w:hAnsi="宋体" w:eastAsia="宋体" w:cs="宋体"/>
                <w:color w:val="auto"/>
                <w:szCs w:val="24"/>
                <w:highlight w:val="none"/>
              </w:rPr>
              <w:t xml:space="preserve">养护工作。</w:t>
            </w:r>
            <w:r/>
          </w:p>
          <w:p>
            <w:pPr>
              <w:pStyle w:val="1018"/>
              <w:ind w:right="-117" w:firstLine="24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2.中标人在养护作业实施过程中，须做好扬尘防控相关措施，如因施工噪音、扬尘被投诉或对采购人造成不良影响的，所有责任由中标人承担。</w:t>
            </w:r>
            <w:r/>
          </w:p>
        </w:tc>
      </w:tr>
      <w:tr>
        <w:trPr>
          <w:jc w:val="center"/>
          <w:trHeight w:val="715"/>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654" w:type="dxa"/>
            <w:vAlign w:val="center"/>
            <w:textDirection w:val="lrTb"/>
            <w:noWrap w:val="false"/>
          </w:tcPr>
          <w:p>
            <w:pPr>
              <w:pStyle w:val="1018"/>
              <w:ind w:right="-117" w:firstLine="24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招标代理费按国家计委计价格【2002】1980号《招标代理服务收费管理暂行办法》所规定的服务招标收费标准的80%计取，由中标人承担。</w:t>
            </w:r>
            <w:r/>
          </w:p>
        </w:tc>
      </w:tr>
      <w:tr>
        <w:trPr>
          <w:jc w:val="center"/>
          <w:trHeight w:val="109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4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654" w:type="dxa"/>
            <w:vAlign w:val="center"/>
            <w:textDirection w:val="lrTb"/>
            <w:noWrap w:val="false"/>
          </w:tcPr>
          <w:p>
            <w:pPr>
              <w:pStyle w:val="1018"/>
              <w:ind w:firstLine="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投标文件的制作要求</w:t>
            </w:r>
            <w:r/>
          </w:p>
          <w:p>
            <w:pPr>
              <w:pStyle w:val="1018"/>
              <w:ind w:firstLine="24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本次采购采用“苏采云”系统进行政府采购活动。</w:t>
            </w:r>
            <w:r/>
          </w:p>
          <w:p>
            <w:pPr>
              <w:pStyle w:val="1018"/>
              <w:ind w:firstLine="24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rPr>
              <w:t xml:space="preserve">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w:t>
            </w:r>
            <w:r>
              <w:rPr>
                <w:rFonts w:hint="eastAsia" w:ascii="宋体" w:hAnsi="宋体" w:eastAsia="宋体" w:cs="宋体"/>
                <w:color w:val="auto"/>
                <w:highlight w:val="none"/>
              </w:rPr>
              <w:t xml:space="preserve">敬请及时关注“江苏政府采购网”、“泰州市政府采购网”发布的更正公告。</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说明  </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u w:val="single"/>
        </w:rPr>
        <w:t xml:space="preserve">江苏建协全过程工程咨询有限公司</w:t>
      </w:r>
      <w:r>
        <w:rPr>
          <w:rFonts w:hint="eastAsia" w:ascii="宋体" w:hAnsi="宋体" w:eastAsia="宋体" w:cs="宋体"/>
          <w:color w:val="auto"/>
          <w:szCs w:val="24"/>
          <w:highlight w:val="none"/>
        </w:rPr>
        <w:t xml:space="preserve">组织的招标活动。</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w:t>
      </w:r>
      <w:r>
        <w:rPr>
          <w:rFonts w:hint="eastAsia" w:ascii="宋体" w:hAnsi="宋体" w:eastAsia="宋体" w:cs="宋体"/>
          <w:color w:val="auto"/>
          <w:szCs w:val="24"/>
          <w:highlight w:val="none"/>
          <w:u w:val="single"/>
        </w:rPr>
        <w:t xml:space="preserve">江苏建协全过程工程咨询有限公司</w:t>
      </w:r>
      <w:r>
        <w:rPr>
          <w:rFonts w:hint="eastAsia" w:ascii="宋体" w:hAnsi="宋体" w:eastAsia="宋体" w:cs="宋体"/>
          <w:color w:val="auto"/>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numPr>
          <w:ilvl w:val="0"/>
          <w:numId w:val="1"/>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合格投标人资格要求</w:t>
      </w:r>
      <w:r/>
    </w:p>
    <w:p>
      <w:pPr>
        <w:ind w:firstLine="3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3.1详见投标人须知前附表规定。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bidi="ar-SA"/>
        </w:rPr>
        <w:t xml:space="preserve">5．</w:t>
      </w:r>
      <w:r>
        <w:rPr>
          <w:rFonts w:hint="eastAsia" w:ascii="宋体" w:hAnsi="宋体" w:eastAsia="宋体" w:cs="宋体"/>
          <w:b/>
          <w:color w:val="auto"/>
          <w:sz w:val="24"/>
          <w:szCs w:val="24"/>
          <w:highlight w:val="none"/>
        </w:rPr>
        <w:t xml:space="preserve">投标人代表</w:t>
      </w:r>
      <w:r/>
    </w:p>
    <w:p>
      <w:pPr>
        <w:ind w:firstLine="3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招标文件</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6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8"/>
        <w:ind w:firstLine="6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招标文件的澄清和修改</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投标文件计量单位和使用文字</w:t>
      </w:r>
      <w:r/>
    </w:p>
    <w:p>
      <w:pPr>
        <w:pStyle w:val="1018"/>
        <w:ind w:firstLine="5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3"/>
        <w:ind w:firstLine="488"/>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41" w:name="_Toc217446047"/>
      <w:r>
        <w:rPr>
          <w:rFonts w:hint="eastAsia" w:ascii="宋体" w:hAnsi="宋体" w:eastAsia="宋体" w:cs="宋体"/>
          <w:b/>
          <w:color w:val="auto"/>
          <w:sz w:val="24"/>
          <w:szCs w:val="24"/>
          <w:highlight w:val="none"/>
        </w:rPr>
        <w:t xml:space="preserve">2. 知识产权</w:t>
      </w:r>
      <w:bookmarkEnd w:id="41"/>
      <w:r/>
      <w:r/>
    </w:p>
    <w:p>
      <w:pPr>
        <w:pStyle w:val="1018"/>
        <w:ind w:firstLine="509"/>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 投标文件的组成</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资格、资信等证明文件：</w:t>
      </w:r>
      <w:r/>
    </w:p>
    <w:p>
      <w:pPr>
        <w:pStyle w:val="1127"/>
        <w:numPr>
          <w:ilvl w:val="1"/>
          <w:numId w:val="2"/>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关于资格的声明函（格式见附件）；</w:t>
      </w:r>
      <w:r/>
    </w:p>
    <w:p>
      <w:pPr>
        <w:pStyle w:val="1127"/>
        <w:numPr>
          <w:ilvl w:val="1"/>
          <w:numId w:val="2"/>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法人或其他组织的营业执照或相关部门的登记证明文件原件扫描件；</w:t>
      </w:r>
      <w:r/>
    </w:p>
    <w:p>
      <w:pPr>
        <w:pStyle w:val="1127"/>
        <w:numPr>
          <w:ilvl w:val="1"/>
          <w:numId w:val="2"/>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法定代表人身份证明及法定代表人身份证扫描件（格式见附件）； </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投标人由会计师事务所出具的近两年中(2023年度或2024年度)任意一个年度的审计报告和所附已审财务报告扫描件；其他组织、自然人及成立未满一年的法人应提供银行出具的资信证明；</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承诺书（格式见附件）；</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具有履行合同所必需的设备和专业技术能力的书面声明（格式见附件）</w:t>
      </w:r>
      <w:r>
        <w:rPr>
          <w:rFonts w:hint="eastAsia" w:ascii="宋体" w:hAnsi="宋体" w:eastAsia="宋体" w:cs="宋体"/>
          <w:color w:val="auto"/>
          <w:sz w:val="24"/>
          <w:szCs w:val="24"/>
          <w:highlight w:val="none"/>
          <w:lang w:eastAsia="zh-CN"/>
        </w:rPr>
        <w:t xml:space="preserve">；</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参加政府采购活动前三年内在经营活动中没有重大违法记录的书面声明（格式见附件）</w:t>
      </w:r>
      <w:r>
        <w:rPr>
          <w:rFonts w:hint="eastAsia" w:ascii="宋体" w:hAnsi="宋体" w:eastAsia="宋体" w:cs="宋体"/>
          <w:color w:val="auto"/>
          <w:sz w:val="24"/>
          <w:szCs w:val="24"/>
          <w:highlight w:val="none"/>
          <w:lang w:eastAsia="zh-CN"/>
        </w:rPr>
        <w:t xml:space="preserve">；</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采购人要求的特定资质证明（详见“采购公告”－“本项目特定资格要求”中要求）。</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szCs w:val="24"/>
          <w:highlight w:val="none"/>
          <w:lang w:val="en-US" w:eastAsia="zh-CN"/>
        </w:rPr>
        <w:t xml:space="preserve">汇总表及</w:t>
      </w:r>
      <w:r>
        <w:rPr>
          <w:rFonts w:hint="eastAsia" w:ascii="宋体" w:hAnsi="宋体" w:eastAsia="宋体" w:cs="宋体"/>
          <w:color w:val="auto"/>
          <w:sz w:val="24"/>
          <w:szCs w:val="24"/>
          <w:highlight w:val="none"/>
        </w:rPr>
        <w:t xml:space="preserve">明细表（格式见附件）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中小企业声明函（如有）</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评分标准中对应的其他所需证明材料（如有自行添加）</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上述1-6项投标人必须按要求全部提供，否则投标文件无效。如上述资格证明文件遇年检、换证，则必须提供法定年检、换证单位出具的有效证明扫描件。如上述资格证明文件第（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投标文件编制及递交要求</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投标报价（编制）要求的说明</w:t>
      </w:r>
      <w:r/>
    </w:p>
    <w:p>
      <w:pPr>
        <w:pStyle w:val="1018"/>
        <w:ind w:firstLine="505"/>
        <w:jc w:val="both"/>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的全部费用，包括但不限于所需要的人工费、材料费、施工机具使用费、保险费、运输费、管理费、利润、措施项目费（含单价措施项目费和总价措施项目费）、其他项目费、规费、税金、有关文件规定的政策性调价等以及各种可能发生的风险费用以及招标文件约定的其他等各项费用。</w:t>
      </w:r>
      <w:r/>
    </w:p>
    <w:p>
      <w:pPr>
        <w:pStyle w:val="1018"/>
        <w:ind w:firstLine="50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投标人要认真阅读清单，慎重报价。采购人不再支付报价以外的任何费用。</w:t>
      </w:r>
      <w:r/>
    </w:p>
    <w:p>
      <w:pPr>
        <w:pStyle w:val="1018"/>
        <w:ind w:firstLine="50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18"/>
        <w:ind w:firstLine="50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15.3一项投标内容只允许一个报价，招标采购单位不接受任何有选择性的投标报价。</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numPr>
          <w:ilvl w:val="0"/>
          <w:numId w:val="3"/>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投标保证金</w:t>
      </w:r>
      <w:r/>
    </w:p>
    <w:p>
      <w:pPr>
        <w:pStyle w:val="1007"/>
        <w:ind w:firstLine="480"/>
        <w:keepLines w:val="0"/>
        <w:keepNext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投标文件的有效期</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投标文件的拒收</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投标文件的修改和撤回</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开标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spacing w:line="360" w:lineRule="auto"/>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 评标委员会</w:t>
      </w:r>
      <w:r>
        <w:rPr>
          <w:rFonts w:hint="eastAsia" w:ascii="宋体" w:hAnsi="宋体" w:eastAsia="宋体" w:cs="宋体"/>
          <w:b/>
          <w:color w:val="auto"/>
          <w:sz w:val="24"/>
          <w:szCs w:val="24"/>
          <w:highlight w:val="none"/>
        </w:rPr>
        <w:tab/>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评标内容的保密</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18"/>
        <w:ind w:firstLine="426"/>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018"/>
        <w:ind w:firstLine="48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18"/>
        <w:ind w:firstLine="48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sz w:val="24"/>
          <w:highlight w:val="none"/>
        </w:rPr>
        <w:t xml:space="preserve">中国政府采购网（www.ccgp.gov.cn）政府采购严重违法失信行为记录名单</w:t>
      </w:r>
      <w:r>
        <w:rPr>
          <w:rFonts w:hint="eastAsia" w:ascii="宋体" w:hAnsi="宋体" w:eastAsia="宋体" w:cs="宋体"/>
          <w:color w:val="auto"/>
          <w:sz w:val="24"/>
          <w:szCs w:val="24"/>
          <w:highlight w:val="none"/>
        </w:rPr>
        <w:t xml:space="preserve">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2"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不同投标人委托同一单位或者个人办理投标事宜的（包含使用同一MAC地址的计算机提交或者解密电子投标文件的情形）；</w:t>
      </w:r>
      <w:bookmarkEnd w:id="42"/>
      <w:r/>
      <w:bookmarkStart w:id="43" w:name="OLE_LINK8"/>
      <w:r/>
      <w:bookmarkEnd w:id="43"/>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4" w:name="OLE_LINK10"/>
      <w:r>
        <w:rPr>
          <w:rFonts w:hint="eastAsia" w:ascii="宋体" w:hAnsi="宋体" w:eastAsia="宋体" w:cs="宋体"/>
          <w:b/>
          <w:bCs/>
          <w:color w:val="auto"/>
          <w:sz w:val="24"/>
          <w:szCs w:val="24"/>
          <w:highlight w:val="none"/>
        </w:rPr>
        <w:t xml:space="preserve">不同的投标人投标文件制作的MAC地址一致的；</w:t>
      </w:r>
      <w:bookmarkEnd w:id="44"/>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24）法律、法规和招标文件规定的其他无效情形。</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25.4招标采购单位对投标文件的判定，只依据投标内容本身，不依靠开标后的任何外来证明。</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left="485" w:firstLine="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 投标文件的评价和比较</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1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29.2.2对采购过程提出质疑的，为各采购程序环节结束之日；</w:t>
      </w:r>
      <w:r/>
    </w:p>
    <w:p>
      <w:pPr>
        <w:pStyle w:val="101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29.2.3对中标结果提出质疑的，为中标结果公告期限届满之日。</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18"/>
        <w:ind w:firstLine="60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 中标人的确认</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部门吊销营业执照；构成犯罪的，依法追究刑事责任。</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 合同授予标准</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中标通知书</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18"/>
        <w:ind w:firstLine="502"/>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33.履约保证金</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 合同的签订</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35.1小微型企业价格扣除</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（1）本项目对小型和微型企业提供的服务（产品）给予</w:t>
      </w:r>
      <w:r>
        <w:rPr>
          <w:rFonts w:hint="eastAsia" w:ascii="宋体" w:hAnsi="宋体" w:eastAsia="宋体" w:cs="宋体"/>
          <w:color w:val="auto"/>
          <w:szCs w:val="24"/>
          <w:highlight w:val="none"/>
          <w:u w:val="single"/>
        </w:rPr>
        <w:t xml:space="preserve">10%</w:t>
      </w:r>
      <w:r>
        <w:rPr>
          <w:rFonts w:hint="eastAsia" w:ascii="宋体" w:hAnsi="宋体" w:eastAsia="宋体" w:cs="宋体"/>
          <w:color w:val="auto"/>
          <w:szCs w:val="24"/>
          <w:highlight w:val="none"/>
        </w:rPr>
        <w:t xml:space="preserve">的扣除价格，用扣除后的价格参与评审。</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（2）供应商需按照采购文件的要求提供相应的《中小企业声明函》。</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（3）企业标准请参照《关于印发中小企业划型标准规定的通知》（工信部联企业〔2011〕300号）文件规定自行填写。</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35.2残疾人福利单位价格扣除</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（1）本项目对残疾人福利性单位视同小型、微型企业，给予</w:t>
      </w:r>
      <w:r>
        <w:rPr>
          <w:rFonts w:hint="eastAsia" w:ascii="宋体" w:hAnsi="宋体" w:eastAsia="宋体" w:cs="宋体"/>
          <w:color w:val="auto"/>
          <w:szCs w:val="24"/>
          <w:highlight w:val="none"/>
          <w:u w:val="single"/>
        </w:rPr>
        <w:t xml:space="preserve">10%</w:t>
      </w:r>
      <w:r>
        <w:rPr>
          <w:rFonts w:hint="eastAsia" w:ascii="宋体" w:hAnsi="宋体" w:eastAsia="宋体" w:cs="宋体"/>
          <w:color w:val="auto"/>
          <w:szCs w:val="24"/>
          <w:highlight w:val="none"/>
        </w:rPr>
        <w:t xml:space="preserve">的价格扣除，用扣除后的价格参与评审。</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（2）残疾人福利单位需按照采购文件的要求提供《残疾人福利性单位声明函》。</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（3）残疾人福利单位标准请参照《关于促进残疾人就业政府采购政策的通知》（财库〔2017〕141号）。</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35.3监狱和戒毒企业价格扣除</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（1）本项目对监狱和戒毒企业（简称监狱企业）视同小型、微型企业，给予</w:t>
      </w:r>
      <w:r>
        <w:rPr>
          <w:rFonts w:hint="eastAsia" w:ascii="宋体" w:hAnsi="宋体" w:eastAsia="宋体" w:cs="宋体"/>
          <w:color w:val="auto"/>
          <w:szCs w:val="24"/>
          <w:highlight w:val="none"/>
          <w:u w:val="single"/>
        </w:rPr>
        <w:t xml:space="preserve">10%</w:t>
      </w:r>
      <w:r>
        <w:rPr>
          <w:rFonts w:hint="eastAsia" w:ascii="宋体" w:hAnsi="宋体" w:eastAsia="宋体" w:cs="宋体"/>
          <w:color w:val="auto"/>
          <w:szCs w:val="24"/>
          <w:highlight w:val="none"/>
        </w:rPr>
        <w:t xml:space="preserve">的价格扣除，用扣除后的价格参与评审。</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（3）监狱企业标准请参照《关于政府采购支持监狱企业发展有关问题的通知》（财库〔2014〕68号）。</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35.4残疾人福利单位、监狱企业属于小型、微型企业的，不重复享受政策。</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35.6联合体各方均为小型、微型企业（残疾人福利单位、监狱企业）的，联合体享受10%价格扣除，用扣除后的价格参与评审。</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35.7需求标准</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本项目中如有涉及商品包装、快递包装的，应当按《关于印发〈商品包装政府采购需求标准（试行）〉、〈快递包装政府采购需求标准（试行）〉的通知》（财办库〔2020〕123号）文件执行。</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本项目中如有涉及采购数据中心相关设备、运维服务的，应当按《关于印发〈绿色数据中心政府采购需求标准（试行）〉的通知》（财办库〔2023〕7号）文件执行。</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35.8节能环保</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本项目中如有涉及节能环保产品要求的，应当按《财政部、发展改革委、生态环境部、市场监管总局关于调整优化节能产品、环境标志产品政府采购执行机制的通知》(财库〔2019〕9号)文件执行。</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35.9中标、成交供应商可以采用电子履约保函形式代替缴纳履约保证金，具体可登录江苏政府采购网的保险保函模块进行办理。</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35.10中标、成交供应商可凭政府采购合同办理融资贷款，详情请见泰州市政府采购网“政采贷”专栏。</w:t>
      </w:r>
      <w:r/>
    </w:p>
    <w:p>
      <w:pPr>
        <w:pStyle w:val="1018"/>
        <w:ind w:firstLine="431"/>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35.11本项目所属行业为</w:t>
      </w:r>
      <w:r>
        <w:rPr>
          <w:rFonts w:hint="eastAsia" w:ascii="宋体" w:hAnsi="宋体" w:eastAsia="宋体" w:cs="宋体"/>
          <w:color w:val="auto"/>
          <w:szCs w:val="24"/>
          <w:highlight w:val="none"/>
          <w:u w:val="single"/>
        </w:rPr>
        <w:t xml:space="preserve">其他未列明行业</w:t>
      </w:r>
      <w:r>
        <w:rPr>
          <w:rFonts w:hint="eastAsia" w:ascii="宋体" w:hAnsi="宋体" w:eastAsia="宋体" w:cs="宋体"/>
          <w:color w:val="auto"/>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 特别提醒</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0"/>
      <w:r/>
      <w:bookmarkStart w:id="45" w:name="_Toc409438818"/>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36.3投标文件中需签字或盖章处均可以用电子签名或电子章代替。</w:t>
      </w:r>
      <w:r/>
    </w:p>
    <w:p>
      <w:pPr>
        <w:pStyle w:val="1018"/>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37.参照关于推动解决政府采购异常低价问题相关文件（苏财购〔2025〕62号）精神，政府采购评审中出现下列情形之一的，评审委员会应当启动异常低价投标（响应）审查程序：</w:t>
      </w:r>
      <w:r/>
    </w:p>
    <w:p>
      <w:pPr>
        <w:pStyle w:val="1018"/>
        <w:ind w:firstLine="43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（一）评审过程中出现下列情形之一的，评审委员会应当启动异常低价投标（响应）审查程序：</w:t>
      </w:r>
      <w:r/>
    </w:p>
    <w:p>
      <w:pPr>
        <w:pStyle w:val="1018"/>
        <w:ind w:firstLine="43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1.投标（响应）报价低于采购项目预算 50%的，即投标（响应）报价&lt;采购项目预算 ×50%；</w:t>
      </w:r>
      <w:r/>
    </w:p>
    <w:p>
      <w:pPr>
        <w:pStyle w:val="1018"/>
        <w:ind w:firstLine="43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2.投标（响应）报价低于采购项目最高限价45%的，即投标（响应）报价&lt;采购项目最高限价 ×45%；</w:t>
      </w:r>
      <w:r/>
    </w:p>
    <w:p>
      <w:pPr>
        <w:pStyle w:val="1018"/>
        <w:ind w:firstLine="43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3.评审委员会认定的供应商报价过低、有可能影响产品质量或者不能诚信履约的其他情形。</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18"/>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highlight w:val="none"/>
        </w:rPr>
        <w:br w:type="page" w:clear="all"/>
      </w:r>
      <w:bookmarkEnd w:id="45"/>
      <w:r/>
      <w:bookmarkStart w:id="46" w:name="_Toc388026586"/>
      <w:r>
        <w:rPr>
          <w:rFonts w:hint="eastAsia" w:ascii="宋体" w:hAnsi="宋体" w:eastAsia="宋体" w:cs="宋体"/>
          <w:b/>
          <w:color w:val="auto"/>
          <w:spacing w:val="15"/>
          <w:sz w:val="32"/>
          <w:szCs w:val="32"/>
          <w:highlight w:val="none"/>
        </w:rPr>
        <w:t xml:space="preserve">第三章 采购需求</w:t>
      </w:r>
      <w:r/>
    </w:p>
    <w:p>
      <w:pPr>
        <w:ind w:firstLine="522"/>
        <w:jc w:val="left"/>
        <w:spacing w:line="440" w:lineRule="exact"/>
        <w:widowControl/>
        <w:rPr>
          <w:rFonts w:hint="eastAsia" w:ascii="宋体" w:hAnsi="宋体" w:eastAsia="宋体" w:cs="宋体"/>
          <w:b/>
          <w:iCs/>
          <w:color w:val="auto"/>
          <w:sz w:val="24"/>
          <w:szCs w:val="24"/>
          <w:highlight w:val="none"/>
        </w:rPr>
      </w:pPr>
      <w:r>
        <w:rPr>
          <w:rFonts w:hint="eastAsia" w:ascii="宋体" w:hAnsi="宋体" w:eastAsia="宋体" w:cs="宋体"/>
          <w:bCs/>
          <w:iCs/>
          <w:color w:val="auto"/>
          <w:sz w:val="24"/>
          <w:szCs w:val="24"/>
          <w:highlight w:val="none"/>
        </w:rPr>
        <w:t xml:space="preserve">一、项目概况：</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园区街道道路和区域绿化养护</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2.最高限价：一标段176.595492万元（两年）、二标段219.172067 万元（两年）、三标段199.286465 万元（两年）</w:t>
      </w:r>
      <w:r>
        <w:rPr>
          <w:rFonts w:hint="eastAsia" w:ascii="宋体" w:hAnsi="宋体" w:eastAsia="宋体" w:cs="宋体"/>
          <w:color w:val="auto"/>
          <w:sz w:val="24"/>
          <w:szCs w:val="24"/>
          <w:highlight w:val="none"/>
          <w:lang w:eastAsia="zh-CN"/>
        </w:rPr>
        <w:t xml:space="preserve">。</w:t>
      </w:r>
      <w:r/>
    </w:p>
    <w:p>
      <w:pPr>
        <w:ind w:firstLine="482"/>
        <w:jc w:val="left"/>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3.服务范围及清单：</w:t>
      </w:r>
      <w:bookmarkStart w:id="47" w:name="_Hlk193094390"/>
      <w:r>
        <w:rPr>
          <w:rFonts w:hint="eastAsia" w:ascii="宋体" w:hAnsi="宋体" w:eastAsia="宋体" w:cs="宋体"/>
          <w:color w:val="auto"/>
          <w:sz w:val="24"/>
          <w:szCs w:val="24"/>
          <w:highlight w:val="none"/>
        </w:rPr>
        <w:t xml:space="preserve">本项目共分3个标段，详细情况见招标控制价。</w:t>
      </w:r>
      <w:bookmarkEnd w:id="47"/>
      <w:r/>
      <w:r/>
    </w:p>
    <w:p>
      <w:pPr>
        <w:pStyle w:val="810"/>
        <w:spacing w:line="360" w:lineRule="auto"/>
        <w:rPr>
          <w:rFonts w:hint="eastAsia" w:ascii="宋体" w:hAnsi="宋体" w:eastAsia="宋体" w:cs="宋体"/>
          <w:color w:val="auto"/>
          <w:szCs w:val="24"/>
          <w:highlight w:val="none"/>
        </w:rPr>
      </w:pPr>
      <w:r/>
      <w:bookmarkStart w:id="48" w:name="_Hlk183354764"/>
      <w:r>
        <w:rPr>
          <w:rFonts w:hint="eastAsia" w:ascii="宋体" w:hAnsi="宋体" w:eastAsia="宋体" w:cs="宋体"/>
          <w:color w:val="auto"/>
          <w:szCs w:val="24"/>
          <w:highlight w:val="none"/>
        </w:rPr>
        <w:t xml:space="preserve">二、工作要求</w:t>
      </w:r>
      <w:r/>
    </w:p>
    <w:p>
      <w:pPr>
        <w:pStyle w:val="810"/>
        <w:jc w:val="both"/>
        <w:spacing w:line="360" w:lineRule="auto"/>
        <w:rPr>
          <w:rFonts w:hint="eastAsia" w:ascii="宋体" w:hAnsi="宋体" w:eastAsia="宋体" w:cs="宋体"/>
          <w:color w:val="auto"/>
          <w:szCs w:val="24"/>
          <w:highlight w:val="none"/>
        </w:rPr>
      </w:pPr>
      <w:r/>
      <w:bookmarkStart w:id="49" w:name="_Hlk192079482"/>
      <w:r>
        <w:rPr>
          <w:rFonts w:hint="eastAsia" w:ascii="宋体" w:hAnsi="宋体" w:eastAsia="宋体" w:cs="宋体"/>
          <w:color w:val="auto"/>
          <w:szCs w:val="24"/>
          <w:highlight w:val="none"/>
        </w:rPr>
        <w:t xml:space="preserve">按照《江苏省城市园林绿化养护管理规范及分级标准》、《江苏省城市园林绿化植物种植技术规定(试行)》、《江苏省城市园林绿化植物养护技术规定》和泰州市海陵区人民政府京泰路街道办事处的有关要求做好相关绿化养护工作。</w:t>
      </w:r>
      <w:bookmarkEnd w:id="49"/>
      <w:r/>
      <w:bookmarkEnd w:id="48"/>
      <w:r/>
      <w:r/>
    </w:p>
    <w:p>
      <w:pPr>
        <w:pStyle w:val="810"/>
        <w:ind w:firstLine="42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三、合同履行期限要求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两年。当出现以下因素时，采购人有权随时终止合同，并全额扣减其履约保证金，中标单位不得以任何理由提出索赔要求：</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1.因中标单位原因发生安全事故；</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2.中标单位不服从采购人正常养护任务安排，造成工作延误；</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3.中标单位未按照投标承诺配备相应设备和人员；</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4.在履约过程中，存在偷工减料、以次充好等质量问题，造成养护质量不合格；</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rFonts w:hint="eastAsia" w:ascii="宋体" w:hAnsi="宋体" w:eastAsia="宋体" w:cs="宋体"/>
          <w:color w:val="auto"/>
          <w:szCs w:val="21"/>
          <w:highlight w:val="none"/>
        </w:rPr>
        <w:t xml:space="preserve"> 月度考核中有三次分值低于80分的，或有两次分值低于75分的，或有一次分值低于70分</w:t>
      </w:r>
      <w:r>
        <w:rPr>
          <w:rFonts w:hint="eastAsia" w:ascii="宋体" w:hAnsi="宋体" w:eastAsia="宋体" w:cs="宋体"/>
          <w:color w:val="auto"/>
          <w:szCs w:val="24"/>
          <w:highlight w:val="none"/>
        </w:rPr>
        <w:t xml:space="preserve">；</w:t>
      </w:r>
      <w:r/>
    </w:p>
    <w:p>
      <w:pPr>
        <w:pStyle w:val="810"/>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6.中标单位转包或违法分包的。</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四、《绿化养护标准及考核细则》， 具体见附件1。</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1.考核方式</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考核工作由发包人组织实施，发包人考核：发包人组建考核小组，每月不定期开展集中考核，进行评判打分。</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2.考核计分方法</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月度考核得分=发包人考核打分的平均分。</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3．结果应用</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（1）考核分以90分为基础分，每低1分，扣减本月度绿化养护费1%。</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（2）月度考核中有三次分值低于80分的，或有两次分值低于75分的，或有一次分值低于70分的，甲方有权取消中标单位绿化养护资格，解除合同。</w:t>
      </w:r>
      <w:r/>
    </w:p>
    <w:p>
      <w:pPr>
        <w:pStyle w:val="810"/>
        <w:ind w:firstLine="42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五、报价说明</w:t>
      </w:r>
      <w:r/>
    </w:p>
    <w:p>
      <w:pPr>
        <w:ind w:firstLine="482"/>
        <w:jc w:val="left"/>
        <w:spacing w:line="360" w:lineRule="auto"/>
        <w:widowControl/>
        <w:rPr>
          <w:rFonts w:hint="eastAsia" w:ascii="宋体" w:hAnsi="宋体" w:eastAsia="宋体" w:cs="宋体"/>
          <w:color w:val="auto"/>
          <w:sz w:val="24"/>
          <w:szCs w:val="24"/>
          <w:highlight w:val="none"/>
        </w:rPr>
      </w:pPr>
      <w:r/>
      <w:bookmarkStart w:id="50" w:name="_Hlk198220826"/>
      <w:r>
        <w:rPr>
          <w:rFonts w:hint="eastAsia" w:ascii="宋体" w:hAnsi="宋体" w:eastAsia="宋体" w:cs="宋体"/>
          <w:color w:val="auto"/>
          <w:sz w:val="24"/>
          <w:szCs w:val="24"/>
          <w:highlight w:val="none"/>
        </w:rPr>
        <w:t xml:space="preserve">1.各标段投标报价不得高于最高限价，否则作无效投标文件处理。服务期两年。本项目投标报价采用固定单价的方式，投标报价应包含本项目合同期内所需要全部费用，及其相应税费、政策性文件规定及实施过程中所有风险、责任（含安全）等各项应有费用，不论其在采购文件中是否有提及。包括但不限于化肥农药费及管护工作所需要的人工、材料、机械、运输、管理、维护、保险、利润、税金、政策性文件规定及合同包含的所有风险、责任等各项应有费用。投标供应商自行勘察现场，要求务必认真、谨慎报价，严禁恶意竞争低价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2.投标报价应根据投标人实际情况自主进行，是招标文件所确定的招标范围内的全部工作内容的价格体现。投标人应充分考虑市场风险因素并最大限度地满足招标文件的要求进行报价，但不得低于成本。</w:t>
      </w:r>
      <w:bookmarkEnd w:id="50"/>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六、支付方式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合同项下所有款项均以人民币支付。付款方式：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合同工期两年，第一年度考核、验收合格后付至合同价的40%(扣除暂列金额)，第二年度考核、验收合格后付至合同的的80%(扣除暂列金额)，审计结束、移交后付至审定价的100%。（本项目所涉及款项皆不计取利息）</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七、现场勘查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不组织集中勘查现场。供应商如对采购需求有疑问请与采购联系人沟通。请务必对项目现场和周围环境进行仔细认真地勘查，在随后的采购中，对现场资料和数据所作出的推论、解释和结论及由此造成的后果由供应商负责。</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八、其他说明</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凡本招标文件未做具体要求的，按照国家现行的有关法规、政策以及各项规范执行。本章内容投标人需完全响应，不允许负偏离。</w:t>
      </w:r>
      <w:r/>
    </w:p>
    <w:p>
      <w:pPr>
        <w:jc w:val="center"/>
        <w:spacing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8"/>
        <w:jc w:val="both"/>
        <w:spacing w:line="360" w:lineRule="auto"/>
        <w:rPr>
          <w:rFonts w:hint="eastAsia" w:ascii="宋体" w:hAnsi="宋体" w:eastAsia="宋体" w:cs="宋体"/>
          <w:color w:val="auto"/>
          <w:highlight w:val="none"/>
        </w:rPr>
        <w:sectPr>
          <w:headerReference w:type="default" r:id="rId9"/>
          <w:footerReference w:type="default" r:id="rId11"/>
          <w:footerReference w:type="first" r:id="rId12"/>
          <w:footnotePr/>
          <w:endnotePr/>
          <w:type w:val="nextPage"/>
          <w:pgSz w:w="11906" w:h="16838" w:orient="portrait"/>
          <w:pgMar w:top="1134" w:right="1134" w:bottom="1134" w:left="1134" w:header="680" w:footer="737" w:gutter="0"/>
          <w:cols w:num="1" w:sep="0" w:space="0" w:equalWidth="1"/>
          <w:docGrid w:linePitch="360"/>
          <w:titlePg/>
        </w:sectPr>
      </w:pPr>
      <w:r>
        <w:rPr>
          <w:rFonts w:hint="eastAsia" w:ascii="宋体" w:hAnsi="宋体" w:eastAsia="宋体" w:cs="宋体"/>
          <w:color w:val="auto"/>
          <w:highlight w:val="none"/>
        </w:rPr>
      </w:r>
      <w:bookmarkEnd w:id="46"/>
      <w:r/>
      <w:r/>
    </w:p>
    <w:p>
      <w:pPr>
        <w:pStyle w:val="1005"/>
        <w:numPr>
          <w:ilvl w:val="0"/>
          <w:numId w:val="4"/>
        </w:numPr>
        <w:jc w:val="center"/>
        <w:spacing w:before="0" w:after="0" w:line="240" w:lineRule="auto"/>
        <w:rPr>
          <w:rFonts w:hint="eastAsia" w:ascii="宋体" w:hAnsi="宋体" w:eastAsia="宋体" w:cs="宋体"/>
          <w:color w:val="auto"/>
          <w:sz w:val="32"/>
          <w:szCs w:val="32"/>
          <w:highlight w:val="none"/>
        </w:rPr>
      </w:pPr>
      <w:r/>
      <w:bookmarkStart w:id="51" w:name="_Toc409438821"/>
      <w:r/>
      <w:bookmarkStart w:id="52" w:name="_Toc388026588"/>
      <w:r>
        <w:rPr>
          <w:rFonts w:hint="eastAsia" w:ascii="宋体" w:hAnsi="宋体" w:eastAsia="宋体" w:cs="宋体"/>
          <w:color w:val="auto"/>
          <w:sz w:val="32"/>
          <w:szCs w:val="32"/>
          <w:highlight w:val="none"/>
        </w:rPr>
        <w:t xml:space="preserve"> 评标办法及标准</w:t>
      </w:r>
      <w:bookmarkEnd w:id="51"/>
      <w:r/>
      <w:bookmarkEnd w:id="52"/>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（一）评标办法</w:t>
      </w:r>
      <w:r/>
    </w:p>
    <w:p>
      <w:pPr>
        <w:pStyle w:val="1076"/>
        <w:ind w:firstLine="488"/>
        <w:spacing w:line="360" w:lineRule="auto"/>
        <w:rPr>
          <w:rFonts w:hint="eastAsia" w:hAnsi="宋体" w:eastAsia="宋体" w:cs="宋体"/>
          <w:color w:val="auto"/>
          <w:sz w:val="24"/>
          <w:szCs w:val="18"/>
          <w:highlight w:val="none"/>
        </w:rPr>
      </w:pPr>
      <w:r>
        <w:rPr>
          <w:rFonts w:hint="eastAsia" w:hAnsi="宋体" w:eastAsia="宋体" w:cs="宋体"/>
          <w:color w:val="auto"/>
          <w:sz w:val="24"/>
          <w:szCs w:val="24"/>
          <w:highlight w:val="none"/>
        </w:rPr>
        <w:t xml:space="preserve">1、本次招标评标采用</w:t>
      </w:r>
      <w:r>
        <w:rPr>
          <w:rFonts w:hint="eastAsia" w:hAnsi="宋体" w:eastAsia="宋体" w:cs="宋体"/>
          <w:color w:val="auto"/>
          <w:sz w:val="24"/>
          <w:szCs w:val="24"/>
          <w:highlight w:val="none"/>
          <w:u w:val="single"/>
        </w:rPr>
        <w:t xml:space="preserve">综合评分法</w:t>
      </w:r>
      <w:r>
        <w:rPr>
          <w:rFonts w:hint="eastAsia"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开标、评标、定标按一、二、三标段顺序进行。同一投标人只能中一个标段。一、二标段中标单位可参与后续标段的评审但不参与推荐中标候选人。中标候选人按照排名先后顺序依次确定为一、二、三标段的中标人。</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技术、商务评审得分和价格标得分相加即为投标人的评标总得分。评分过程中采用“四舍五入”法，并保留小数点后2位。</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3、如出现评标总得分最高的投标人有两个或两个以上的，以投标报价较低者优先作为中标候选人；总得分且投标报价也相同的，按服务方案</w:t>
      </w:r>
      <w:r>
        <w:rPr>
          <w:rFonts w:hint="eastAsia" w:ascii="宋体" w:hAnsi="宋体" w:eastAsia="宋体" w:cs="宋体"/>
          <w:color w:val="auto"/>
          <w:sz w:val="24"/>
          <w:szCs w:val="24"/>
          <w:highlight w:val="none"/>
          <w:lang w:val="en-US" w:eastAsia="zh-CN"/>
        </w:rPr>
        <w:t xml:space="preserve">得分高</w:t>
      </w:r>
      <w:r>
        <w:rPr>
          <w:rFonts w:hint="eastAsia" w:ascii="宋体" w:hAnsi="宋体" w:eastAsia="宋体" w:cs="宋体"/>
          <w:color w:val="auto"/>
          <w:sz w:val="24"/>
          <w:szCs w:val="24"/>
          <w:highlight w:val="none"/>
        </w:rPr>
        <w:t xml:space="preserve">的优先作为中标候选人；总得分、投标报价及服务方案得分均相同的，则由采购人组织以抽签方式确定中标候选</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4、评分标准：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评委对投标文件的技术及商务响应情况进行评分。评分采用量化方法。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5、价格扣除：供应商为小微企业或监狱企业或残疾人福利性单位的，享受10%价格扣除。</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按要求填写或未提交则不享受相关小微企业价格扣除政策。</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按要求填写或未提交则不享受相关价格扣除政策。</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按要求填写或未提交则不享受相关价格扣除政策。监狱企业属于小型、微型企业的，不重复享受政策。</w:t>
      </w:r>
      <w:r/>
    </w:p>
    <w:p>
      <w:pPr>
        <w:jc w:val="center"/>
        <w:spacing w:line="480" w:lineRule="auto"/>
        <w:rPr>
          <w:rFonts w:hint="eastAsia" w:ascii="宋体" w:hAnsi="宋体" w:eastAsia="宋体" w:cs="宋体"/>
          <w:b/>
          <w:color w:val="auto"/>
          <w:sz w:val="30"/>
          <w:szCs w:val="30"/>
          <w:highlight w:val="none"/>
        </w:rPr>
      </w:pPr>
      <w:r/>
      <w:bookmarkStart w:id="53" w:name="_Hlk147842034"/>
      <w:r>
        <w:rPr>
          <w:rFonts w:hint="eastAsia" w:ascii="宋体" w:hAnsi="宋体" w:eastAsia="宋体" w:cs="宋体"/>
          <w:b/>
          <w:color w:val="auto"/>
          <w:sz w:val="30"/>
          <w:szCs w:val="30"/>
          <w:highlight w:val="none"/>
        </w:rPr>
        <w:t xml:space="preserve">评标内容及评标标准</w:t>
      </w:r>
      <w:r/>
    </w:p>
    <w:p>
      <w:pPr>
        <w:spacing w:line="320" w:lineRule="exact"/>
        <w:rPr>
          <w:rFonts w:hint="eastAsia" w:ascii="宋体" w:hAnsi="宋体" w:eastAsia="宋体" w:cs="宋体"/>
          <w:b/>
          <w:color w:val="auto"/>
          <w:highlight w:val="none"/>
        </w:rPr>
      </w:pPr>
      <w:r>
        <w:rPr>
          <w:rFonts w:hint="eastAsia" w:ascii="宋体" w:hAnsi="宋体" w:eastAsia="宋体" w:cs="宋体"/>
          <w:b/>
          <w:color w:val="auto"/>
          <w:sz w:val="24"/>
          <w:szCs w:val="24"/>
          <w:highlight w:val="none"/>
        </w:rPr>
        <w:t xml:space="preserve">二、技术、商务、价格评分应分别考虑下列因素：</w:t>
      </w:r>
      <w:r>
        <w:rPr>
          <w:rFonts w:hint="eastAsia" w:ascii="宋体" w:hAnsi="宋体" w:eastAsia="宋体" w:cs="宋体"/>
          <w:b/>
          <w:color w:val="auto"/>
          <w:highlight w:val="none"/>
        </w:rPr>
        <w:t xml:space="preserve"> </w:t>
      </w:r>
      <w:bookmarkEnd w:id="53"/>
      <w:r/>
      <w:r/>
    </w:p>
    <w:tbl>
      <w:tblPr>
        <w:tblStyle w:val="835"/>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51"/>
        <w:gridCol w:w="6804"/>
      </w:tblGrid>
      <w:tr>
        <w:trPr>
          <w:trHeight w:val="753"/>
        </w:trPr>
        <w:tc>
          <w:tcPr>
            <w:tcW w:w="1242"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tcW w:w="6804"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rHeight w:val="1533"/>
        </w:trPr>
        <w:tc>
          <w:tcPr>
            <w:tcW w:w="1242"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6804" w:type="dxa"/>
            <w:textDirection w:val="lrTb"/>
            <w:noWrap w:val="false"/>
          </w:tcPr>
          <w:p>
            <w:pPr>
              <w:ind w:firstLine="48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满足招标文件要求且报价最低的投标人报价为评标基准价，其价格分为满分，其他投标人的价格分按照以下公式计算：投标报价得分=（评标基准价/该投标人的报价）×30（分值保留两位小数）。</w:t>
            </w:r>
            <w:r/>
          </w:p>
        </w:tc>
      </w:tr>
      <w:tr>
        <w:trPr/>
        <w:tc>
          <w:tcPr>
            <w:tcW w:w="1242" w:type="dxa"/>
            <w:vAlign w:val="center"/>
            <w:textDirection w:val="lrTb"/>
            <w:noWrap w:val="false"/>
          </w:tcPr>
          <w:p>
            <w:pPr>
              <w:jc w:val="center"/>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拟派项目</w:t>
            </w:r>
            <w:r/>
          </w:p>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组成员</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804" w:type="dxa"/>
            <w:vAlign w:val="center"/>
            <w:textDirection w:val="lrTb"/>
            <w:noWrap w:val="false"/>
          </w:tcPr>
          <w:p>
            <w:pPr>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1.项目负责人（2分）</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项目负责人具有园林绿化相关专业中级职称</w:t>
            </w:r>
            <w:r>
              <w:rPr>
                <w:rFonts w:hint="eastAsia" w:ascii="宋体" w:hAnsi="宋体" w:eastAsia="宋体" w:cs="宋体"/>
                <w:bCs/>
                <w:color w:val="auto"/>
                <w:sz w:val="24"/>
                <w:szCs w:val="24"/>
                <w:highlight w:val="none"/>
                <w:lang w:val="en-US" w:eastAsia="zh-CN"/>
              </w:rPr>
              <w:t xml:space="preserve">及以上</w:t>
            </w:r>
            <w:r>
              <w:rPr>
                <w:rFonts w:hint="eastAsia" w:ascii="宋体" w:hAnsi="宋体" w:eastAsia="宋体" w:cs="宋体"/>
                <w:bCs/>
                <w:color w:val="auto"/>
                <w:sz w:val="24"/>
                <w:szCs w:val="24"/>
                <w:highlight w:val="none"/>
              </w:rPr>
              <w:t xml:space="preserve">的得2分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本小项最高得2分。</w:t>
            </w:r>
            <w:r/>
          </w:p>
          <w:p>
            <w:pPr>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2.项目技术</w:t>
            </w:r>
            <w:bookmarkStart w:id="54" w:name="OLE_LINK27"/>
            <w:r>
              <w:rPr>
                <w:rFonts w:hint="eastAsia" w:ascii="宋体" w:hAnsi="宋体" w:eastAsia="宋体" w:cs="宋体"/>
                <w:bCs/>
                <w:color w:val="auto"/>
                <w:sz w:val="24"/>
                <w:szCs w:val="24"/>
                <w:highlight w:val="none"/>
              </w:rPr>
              <w:t xml:space="preserve">负责</w:t>
            </w:r>
            <w:bookmarkEnd w:id="54"/>
            <w:r>
              <w:rPr>
                <w:rFonts w:hint="eastAsia" w:ascii="宋体" w:hAnsi="宋体" w:eastAsia="宋体" w:cs="宋体"/>
                <w:bCs/>
                <w:color w:val="auto"/>
                <w:sz w:val="24"/>
                <w:szCs w:val="24"/>
                <w:highlight w:val="none"/>
              </w:rPr>
              <w:t xml:space="preserve">人（2分）</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项目技术负责人具有园林绿化相关专业中级职称</w:t>
            </w:r>
            <w:r>
              <w:rPr>
                <w:rFonts w:hint="eastAsia" w:ascii="宋体" w:hAnsi="宋体" w:eastAsia="宋体" w:cs="宋体"/>
                <w:bCs/>
                <w:color w:val="auto"/>
                <w:sz w:val="24"/>
                <w:szCs w:val="24"/>
                <w:highlight w:val="none"/>
                <w:lang w:val="en-US" w:eastAsia="zh-CN"/>
              </w:rPr>
              <w:t xml:space="preserve">及以上</w:t>
            </w:r>
            <w:r>
              <w:rPr>
                <w:rFonts w:hint="eastAsia" w:ascii="宋体" w:hAnsi="宋体" w:eastAsia="宋体" w:cs="宋体"/>
                <w:bCs/>
                <w:color w:val="auto"/>
                <w:sz w:val="24"/>
                <w:szCs w:val="24"/>
                <w:highlight w:val="none"/>
              </w:rPr>
              <w:t xml:space="preserve">的</w:t>
            </w:r>
            <w:bookmarkStart w:id="130" w:name="_GoBack"/>
            <w:r/>
            <w:bookmarkEnd w:id="130"/>
            <w:r>
              <w:rPr>
                <w:rFonts w:hint="eastAsia" w:ascii="宋体" w:hAnsi="宋体" w:eastAsia="宋体" w:cs="宋体"/>
                <w:bCs/>
                <w:color w:val="auto"/>
                <w:sz w:val="24"/>
                <w:szCs w:val="24"/>
                <w:highlight w:val="none"/>
              </w:rPr>
              <w:t xml:space="preserve">得2分，</w:t>
            </w:r>
            <w:bookmarkStart w:id="55" w:name="OLE_LINK15"/>
            <w:r>
              <w:rPr>
                <w:rFonts w:hint="eastAsia" w:ascii="宋体" w:hAnsi="宋体" w:eastAsia="宋体" w:cs="宋体"/>
                <w:bCs/>
                <w:color w:val="auto"/>
                <w:sz w:val="24"/>
                <w:szCs w:val="24"/>
                <w:highlight w:val="none"/>
              </w:rPr>
              <w:t xml:space="preserve">本小项</w:t>
            </w:r>
            <w:bookmarkEnd w:id="55"/>
            <w:r>
              <w:rPr>
                <w:rFonts w:hint="eastAsia" w:ascii="宋体" w:hAnsi="宋体" w:eastAsia="宋体" w:cs="宋体"/>
                <w:bCs/>
                <w:color w:val="auto"/>
                <w:sz w:val="24"/>
                <w:szCs w:val="24"/>
                <w:highlight w:val="none"/>
              </w:rPr>
              <w:t xml:space="preserve">最高得2分。</w:t>
            </w:r>
            <w:r/>
          </w:p>
          <w:p>
            <w:pPr>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3.高空作业人员（</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具有应急管理部门（原安监部门）核发的《特种作业操作证》高处作业证或住建部门核发的《建筑施工特种作业操作资格证》高处作业证（证书应在有效期内，否则不得分），每有1人得2分，本小项最高得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spacing w:line="440" w:lineRule="exact"/>
              <w:tabs>
                <w:tab w:val="left" w:pos="2850" w:leader="none"/>
                <w:tab w:val="center" w:pos="4153"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项目组其他人员（与项目负责人、项目技术负责人、高空作业人员不得重复</w:t>
            </w:r>
            <w:r>
              <w:rPr>
                <w:rFonts w:hint="eastAsia" w:ascii="宋体" w:hAnsi="宋体" w:eastAsia="宋体" w:cs="宋体"/>
                <w:bCs/>
                <w:color w:val="auto"/>
                <w:sz w:val="24"/>
                <w:szCs w:val="24"/>
                <w:highlight w:val="none"/>
              </w:rPr>
              <w:t xml:space="preserve">，否则不予计分）数量（6分）</w:t>
            </w:r>
            <w:bookmarkStart w:id="56" w:name="OLE_LINK4"/>
            <w:r/>
            <w:bookmarkEnd w:id="56"/>
            <w:r/>
            <w:r/>
          </w:p>
          <w:p>
            <w:pPr>
              <w:ind w:firstLine="240"/>
              <w:spacing w:line="440" w:lineRule="exact"/>
              <w:tabs>
                <w:tab w:val="left" w:pos="2850" w:leader="none"/>
                <w:tab w:val="center" w:pos="4153"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拟派本项目的日常养护作业技术人员8人（含）以上得6分；</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拟派本项目的日常养护作业技术人员5人-7人，得3分；</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投标人拟派本项目的日常养护作业技术人员2人-4人得1分；</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不足2人的不得分。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第1-3项人员需提供职称证书、资格证书、职称评审表（职称证书不能体现专业的提供）原件扫描件加盖公章；需提供所有人员近三个月（不含投标当月）的社保证明材料，以上资料提供不全不得分</w:t>
            </w:r>
            <w:r>
              <w:rPr>
                <w:rFonts w:hint="eastAsia" w:ascii="宋体" w:hAnsi="宋体" w:eastAsia="宋体" w:cs="宋体"/>
                <w:b/>
                <w:color w:val="auto"/>
                <w:sz w:val="24"/>
                <w:szCs w:val="24"/>
                <w:highlight w:val="none"/>
              </w:rPr>
              <w:t xml:space="preserve">。</w:t>
            </w:r>
            <w:r/>
          </w:p>
          <w:p>
            <w:pPr>
              <w:ind w:firstLine="482"/>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 ①以上拟派项目组的所有成员不得兼任，同一人员只计一次，不得重复计分；</w:t>
            </w:r>
            <w:r/>
          </w:p>
          <w:p>
            <w:pPr>
              <w:ind w:firstLine="482"/>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②</w:t>
            </w:r>
            <w:r>
              <w:rPr>
                <w:rFonts w:hint="eastAsia" w:ascii="宋体" w:hAnsi="宋体" w:eastAsia="宋体" w:cs="宋体"/>
                <w:b/>
                <w:color w:val="auto"/>
                <w:sz w:val="24"/>
                <w:szCs w:val="24"/>
                <w:highlight w:val="none"/>
              </w:rPr>
              <w:t xml:space="preserve">园林绿化相关专业指园林规划设计、景观工程设计、环境艺术、园林工程技术、景观学、风景园林、园艺、园林等。</w:t>
            </w:r>
            <w:r/>
          </w:p>
        </w:tc>
      </w:tr>
      <w:tr>
        <w:trPr>
          <w:trHeight w:val="3251"/>
        </w:trPr>
        <w:tc>
          <w:tcPr>
            <w:tcW w:w="1242" w:type="dxa"/>
            <w:vAlign w:val="center"/>
            <w:textDirection w:val="lrTb"/>
            <w:noWrap w:val="false"/>
          </w:tcPr>
          <w:p>
            <w:pPr>
              <w:jc w:val="center"/>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车辆及机</w:t>
            </w:r>
            <w:r/>
          </w:p>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械设备</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804" w:type="dxa"/>
            <w:vAlign w:val="center"/>
            <w:textDirection w:val="lrTb"/>
            <w:noWrap w:val="false"/>
          </w:tcPr>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1.投标人拟投入本项目的车辆（3分）</w:t>
            </w:r>
            <w:r/>
          </w:p>
          <w:p>
            <w:pPr>
              <w:ind w:firstLine="243"/>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（1）配备1辆专业洒水车的得1分，本小项最高得1分</w:t>
            </w:r>
            <w:r>
              <w:rPr>
                <w:rFonts w:hint="eastAsia" w:ascii="宋体" w:hAnsi="宋体" w:eastAsia="宋体" w:cs="宋体"/>
                <w:bCs/>
                <w:color w:val="auto"/>
                <w:sz w:val="24"/>
                <w:szCs w:val="24"/>
                <w:highlight w:val="none"/>
                <w:lang w:eastAsia="zh-CN"/>
              </w:rPr>
              <w:t xml:space="preserve">；</w:t>
            </w:r>
            <w:r/>
          </w:p>
          <w:p>
            <w:pPr>
              <w:ind w:firstLine="243"/>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（2）配备1辆专业登高作业车的得1分，本小项最高得1分</w:t>
            </w:r>
            <w:r>
              <w:rPr>
                <w:rFonts w:hint="eastAsia" w:ascii="宋体" w:hAnsi="宋体" w:eastAsia="宋体" w:cs="宋体"/>
                <w:bCs/>
                <w:color w:val="auto"/>
                <w:sz w:val="24"/>
                <w:szCs w:val="24"/>
                <w:highlight w:val="none"/>
                <w:lang w:eastAsia="zh-CN"/>
              </w:rPr>
              <w:t xml:space="preserve">；</w:t>
            </w:r>
            <w:r/>
          </w:p>
          <w:p>
            <w:pPr>
              <w:ind w:firstLine="240"/>
              <w:spacing w:line="440" w:lineRule="exact"/>
              <w:tabs>
                <w:tab w:val="left" w:pos="2850"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（3）配备1辆清运货车的得1分，本小项最高得1分。</w:t>
            </w:r>
            <w:r/>
          </w:p>
          <w:p>
            <w:pPr>
              <w:ind w:firstLine="482"/>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以上车辆可为投标人自有或者租赁。其中：</w:t>
            </w:r>
            <w:r/>
          </w:p>
          <w:p>
            <w:pPr>
              <w:ind w:firstLine="482"/>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自有的须同时提供：①车辆购置发票；②车辆行驶证（在有效期内）；③车辆（含车牌号）照片。</w:t>
            </w:r>
            <w:r/>
          </w:p>
          <w:p>
            <w:pPr>
              <w:ind w:firstLine="482"/>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租赁的须同时提供：①租赁合同（租赁期限应覆盖本项目服务期）；②车辆行驶证（在有效期内）；③车辆（含车牌号）照片。</w:t>
            </w:r>
            <w:r/>
          </w:p>
          <w:p>
            <w:pPr>
              <w:ind w:firstLine="482"/>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以原件扫描件并加盖公章作为得分依据，否则此项不得分。</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2.投标人拟投入本项目的自有机械设备（4分），其中：</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水泵3台及以上的，得0.5分；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油锯2个及以上的，得0.5分；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吹风机4台及以上的，得0.5分；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绿篱机2台及以上的，得0.5分；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高程打药机1台及以上的，得0.5分；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草坪机1台及以上的，得0.5分；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草坪打孔机1台及以上的，得0.5分；</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割灌机1台及以上的，得0.5分</w:t>
            </w:r>
            <w:r>
              <w:rPr>
                <w:rFonts w:hint="eastAsia" w:ascii="宋体" w:hAnsi="宋体" w:eastAsia="宋体" w:cs="宋体"/>
                <w:bCs/>
                <w:color w:val="auto"/>
                <w:sz w:val="24"/>
                <w:szCs w:val="24"/>
                <w:highlight w:val="none"/>
                <w:lang w:eastAsia="zh-CN"/>
              </w:rPr>
              <w:t xml:space="preserve">。</w:t>
            </w:r>
            <w:r/>
          </w:p>
          <w:p>
            <w:pPr>
              <w:ind w:firstLine="241"/>
              <w:spacing w:line="440" w:lineRule="exact"/>
              <w:tabs>
                <w:tab w:val="left" w:pos="2850" w:leader="none"/>
                <w:tab w:val="center" w:pos="41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上述自有机械设备应同时提供：①设备购置发票；②设备照片。每一小项中投标人的机械种类或数量（含发票购货数量与设备照片数量）不一致的，均不得分。</w:t>
            </w:r>
            <w:r/>
          </w:p>
          <w:p>
            <w:pPr>
              <w:ind w:firstLine="241"/>
              <w:spacing w:line="44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以原件扫描件并加盖公章作为得分依据，否则此项不得分。</w:t>
            </w:r>
            <w:r/>
          </w:p>
        </w:tc>
      </w:tr>
      <w:tr>
        <w:trPr>
          <w:trHeight w:val="3615"/>
        </w:trPr>
        <w:tc>
          <w:tcPr>
            <w:tcW w:w="1242"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6804" w:type="dxa"/>
            <w:vAlign w:val="center"/>
            <w:textDirection w:val="lrTb"/>
            <w:noWrap w:val="false"/>
          </w:tcPr>
          <w:p>
            <w:pPr>
              <w:ind w:firstLine="24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投标人自2022年1月1日以来（以合同签订时间为准）承担过绿化养护项目的，每提供一个得2分，本小项最高得6分。</w:t>
            </w:r>
            <w:r/>
          </w:p>
          <w:p>
            <w:pPr>
              <w:ind w:firstLine="241"/>
              <w:jc w:val="left"/>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投标文件中应同时提供：①中标（成交）通知书（不含分包、直接发包通知书）；②合同。 </w:t>
            </w:r>
            <w:r/>
          </w:p>
          <w:p>
            <w:pPr>
              <w:ind w:firstLine="241"/>
              <w:jc w:val="left"/>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业绩合同必须能够体现签订时间、服务内容等，同一项目分年度续签的，只能算一个业绩。</w:t>
            </w:r>
            <w:r/>
          </w:p>
          <w:p>
            <w:pPr>
              <w:ind w:right="-75" w:firstLine="241"/>
              <w:jc w:val="left"/>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以上材料需提供原件扫描件</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bCs/>
                <w:color w:val="auto"/>
                <w:sz w:val="24"/>
                <w:szCs w:val="24"/>
                <w:highlight w:val="none"/>
              </w:rPr>
              <w:t xml:space="preserve">，否则视为未提供。</w:t>
            </w:r>
            <w:r/>
          </w:p>
        </w:tc>
      </w:tr>
      <w:tr>
        <w:trPr>
          <w:trHeight w:val="1408"/>
        </w:trPr>
        <w:tc>
          <w:tcPr>
            <w:tcW w:w="1242"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W w:w="851"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804" w:type="dxa"/>
            <w:vAlign w:val="center"/>
            <w:textDirection w:val="lrTb"/>
            <w:noWrap w:val="false"/>
          </w:tcPr>
          <w:p>
            <w:pPr>
              <w:numPr>
                <w:ilvl w:val="0"/>
                <w:numId w:val="5"/>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安全生产、文明生产方案</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val="en-US" w:eastAsia="zh-CN"/>
              </w:rPr>
              <w:t xml:space="preserve">服务内容</w:t>
            </w:r>
            <w:r>
              <w:rPr>
                <w:rFonts w:hint="eastAsia" w:ascii="宋体" w:hAnsi="宋体" w:eastAsia="宋体" w:cs="宋体"/>
                <w:color w:val="auto"/>
                <w:sz w:val="24"/>
                <w:szCs w:val="24"/>
                <w:highlight w:val="none"/>
              </w:rPr>
              <w:t xml:space="preserve">制定的</w:t>
            </w:r>
            <w:r>
              <w:rPr>
                <w:rFonts w:hint="eastAsia" w:ascii="宋体" w:hAnsi="宋体" w:eastAsia="宋体" w:cs="宋体"/>
                <w:color w:val="auto"/>
                <w:sz w:val="24"/>
                <w:szCs w:val="24"/>
                <w:highlight w:val="none"/>
                <w:lang w:val="en-US" w:eastAsia="zh-CN"/>
              </w:rPr>
              <w:t xml:space="preserve">安全生产、文明生产</w:t>
            </w:r>
            <w:r>
              <w:rPr>
                <w:rFonts w:hint="eastAsia" w:ascii="宋体" w:hAnsi="宋体" w:eastAsia="宋体" w:cs="宋体"/>
                <w:color w:val="auto"/>
                <w:sz w:val="24"/>
                <w:szCs w:val="24"/>
                <w:highlight w:val="none"/>
              </w:rPr>
              <w:t xml:space="preserve">方案是否具有针对性、计划是否可实施、流程是否具有可操作性进行评审。</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①</w:t>
            </w:r>
            <w:r>
              <w:rPr>
                <w:rFonts w:hint="eastAsia" w:ascii="宋体" w:hAnsi="宋体" w:cs="宋体"/>
                <w:color w:val="auto"/>
                <w:sz w:val="24"/>
                <w:szCs w:val="24"/>
                <w:highlight w:val="none"/>
              </w:rPr>
              <w:t xml:space="preserve">方案内容全面、科学合理，内容与要点相符、每个要点均有展开详细的阐述且能够适用于本项目的，得1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②</w:t>
            </w:r>
            <w:r>
              <w:rPr>
                <w:rFonts w:hint="eastAsia" w:ascii="宋体" w:hAnsi="宋体" w:cs="宋体"/>
                <w:color w:val="auto"/>
                <w:sz w:val="24"/>
                <w:szCs w:val="24"/>
                <w:highlight w:val="none"/>
              </w:rPr>
              <w:t xml:space="preserve">方案内容较全面，内容与要点基本相符、每个要点均有展开阐述但不够具体，能够适用于本项目的，得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③</w:t>
            </w:r>
            <w:r>
              <w:rPr>
                <w:rFonts w:hint="eastAsia" w:ascii="宋体" w:hAnsi="宋体" w:cs="宋体"/>
                <w:color w:val="auto"/>
                <w:sz w:val="24"/>
                <w:szCs w:val="24"/>
                <w:highlight w:val="none"/>
              </w:rPr>
              <w:t xml:space="preserve">方案内容不够全面，内容与要点虽相符，但仅有纲要、内容简略，基本适用于本项目的，得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④</w:t>
            </w:r>
            <w:r>
              <w:rPr>
                <w:rFonts w:hint="eastAsia" w:ascii="宋体" w:hAnsi="宋体" w:cs="宋体"/>
                <w:color w:val="auto"/>
                <w:sz w:val="24"/>
                <w:szCs w:val="24"/>
                <w:highlight w:val="none"/>
              </w:rPr>
              <w:t xml:space="preserve">方案内容存在明显错误，内容明显不适用于本项目需求的得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24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⑤方案未提供不得分。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养护技术方案（1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养护技术方案应根据季节变化考虑各类园林植物特性，养护计划周密、措施方案合理有效，病虫害防治方案细致全面性进行评审。</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cs="宋体"/>
                <w:color w:val="auto"/>
                <w:sz w:val="24"/>
                <w:szCs w:val="24"/>
                <w:highlight w:val="none"/>
              </w:rPr>
              <w:t xml:space="preserve">方案内容全面、科学合理，内容与要点相符、每个要点均有展开详细的阐述且能够适用于本项目的，得1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rPr>
              <w:t xml:space="preserve">方案内容较全面，内容与要点基本相符、每个要点均有展开阐述但不够具体，能够适用于本项目的，得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4"/>
                <w:highlight w:val="none"/>
              </w:rPr>
              <w:t xml:space="preserve">方案内容不够全面，内容与要点虽相符，但仅有纲要、内容简略，基本适用于本项目的，得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860"/>
              <w:numPr>
                <w:ilvl w:val="0"/>
                <w:numId w:val="0"/>
              </w:numPr>
              <w:ind w:left="600" w:hanging="360"/>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rPr>
              <w:t xml:space="preserve">方案内容存在明显错误，内容明显不适用于本项目需求的得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⑤方案未提供不得分。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养护管理制度（</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养护管理制度包括养护档案管理制度、安全文明措施等。对养护管理制度的合理性、针对性、科学性进行评审。</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①方案内容全面、科学合理，内容与要点相符、每个要点均有展开详细的阐述且能够适用于本项目的，得1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②方案内容较全面，内容与要点基本相符、每个要点均有展开阐述但不够具体，能够适用于本项目的，得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③方案内容不够全面，内容与要点虽相符，但仅有纲要、内容简略，基本适用于本项目的，得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④方案内容存在明显错误，内容明显不适用于本项目需求的得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⑤方案未提供不得分。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养护项目作业人员数量、技能水平、年龄分布，劳动力、机械设备</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入实施情况（</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bookmarkStart w:id="57" w:name="OLE_LINK9"/>
            <w:r>
              <w:rPr>
                <w:rFonts w:hint="eastAsia" w:ascii="宋体" w:hAnsi="宋体" w:eastAsia="宋体" w:cs="宋体"/>
                <w:color w:val="auto"/>
                <w:sz w:val="24"/>
                <w:szCs w:val="24"/>
                <w:highlight w:val="none"/>
              </w:rPr>
              <w:t xml:space="preserve">养护项目作业人员数量、技能水平、年龄分布，劳动力、机械设备</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入实施的合理性、可行性、科学性进行评审。</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①方案内容全面、科学合理，内容与要点相符、每个要点均有展开详细的阐述且能够适用于本项目的，得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②方案内容较全面，内容与要点基本相符、每个要点均有展开阐述但不够具体，能够适用于本项目的，得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③方案内容不够全面，内容与要点虽相符，但仅有纲要、内容简略，基本适用于本项目的，得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④方案内容存在明显错误，内容明显不适用于本项目需求的得1分</w:t>
            </w:r>
            <w:bookmarkEnd w:id="57"/>
            <w:r>
              <w:rPr>
                <w:rFonts w:hint="eastAsia" w:ascii="宋体" w:hAnsi="宋体" w:eastAsia="宋体" w:cs="宋体"/>
                <w:color w:val="auto"/>
                <w:sz w:val="24"/>
                <w:szCs w:val="24"/>
                <w:highlight w:val="none"/>
              </w:rPr>
              <w:t xml:space="preserve">；</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⑤方案未提供不得分。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突发应急方案（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right="108" w:firstLine="243"/>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制定的恶劣天气（防寒、防旱、防台、防涝）等的应急处理方案是否具有针对性和科学性</w:t>
            </w:r>
            <w:r>
              <w:rPr>
                <w:rFonts w:hint="eastAsia" w:ascii="宋体" w:hAnsi="宋体" w:eastAsia="宋体" w:cs="宋体"/>
                <w:color w:val="auto"/>
                <w:sz w:val="24"/>
                <w:szCs w:val="24"/>
                <w:highlight w:val="none"/>
              </w:rPr>
              <w:t xml:space="preserve">进行评审。</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①方案内容全面、科学合理，内容与要点相符、每个要点均有展开详细的阐述且能够适用于本项目的，得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②方案内容较全面，内容与要点基本相符、每个要点均有展开阐述但不够具体，能够适用于本项目的，得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③方案内容不够全面，内容与要点虽相符，但仅有纲要、内容简略，基本适用于本项目的，得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④方案内容存在明显错误，内容明显不适用于本项目需求的得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⑤方案未提供不得分。</w:t>
            </w:r>
            <w:r/>
          </w:p>
          <w:p>
            <w:pPr>
              <w:numPr>
                <w:ilvl w:val="0"/>
                <w:numId w:val="0"/>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突击检查、创优评优、大型活动、节庆假日保障措施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right="108" w:firstLine="243"/>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制定的突击检查、创优评优、大型活动、节庆假日保障措施是否具有针对性和科学性</w:t>
            </w:r>
            <w:r>
              <w:rPr>
                <w:rFonts w:hint="eastAsia" w:ascii="宋体" w:hAnsi="宋体" w:eastAsia="宋体" w:cs="宋体"/>
                <w:color w:val="auto"/>
                <w:sz w:val="24"/>
                <w:szCs w:val="24"/>
                <w:highlight w:val="none"/>
              </w:rPr>
              <w:t xml:space="preserve">进行评审。</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①方案内容全面、科学合理，内容与要点相符、每个要点均有展开详细的阐述且能够适用于本项目的，得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②方案内容较全面，内容与要点基本相符、每个要点均有展开阐述但不够具体，能够适用于本项目的，得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③方案内容不够全面，内容与要点虽相符，但仅有纲要、内容简略，基本适用于本项目的，得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④方案内容存在明显错误，内容明显不适用于本项目需求的得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0"/>
              </w:numPr>
              <w:ind w:firstLine="24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⑤方案未提供不得分。</w:t>
            </w:r>
            <w:r/>
          </w:p>
        </w:tc>
      </w:tr>
    </w:tbl>
    <w:p>
      <w:pPr>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注：1.以上评分标准中评分的每一条，各投标人均应提供相关的资料，且资料必须清晰完整。</w:t>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2.投标文件中如出现前后不一致时,评委会有权请投标人作出澄清说明。</w:t>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3.以上业绩、人员及企业证书、车辆及机械设备等证明材料的原件，采购人有权在签订合同前进行核查，若不能按时提供或提供虚假材料的，采购人将取消其中标资格。</w:t>
      </w:r>
      <w:r/>
    </w:p>
    <w:p>
      <w:pPr>
        <w:spacing w:line="440" w:lineRule="exact"/>
        <w:tabs>
          <w:tab w:val="left" w:pos="2850" w:leader="none"/>
          <w:tab w:val="center" w:pos="41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三、推荐中标候选人:</w:t>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40" w:lineRule="exact"/>
        <w:tabs>
          <w:tab w:val="left" w:pos="2850"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ind w:firstLine="56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园区街道道路和区域绿化养护</w:t>
      </w:r>
      <w:r>
        <w:rPr>
          <w:rFonts w:hint="eastAsia" w:ascii="宋体" w:hAnsi="宋体" w:eastAsia="宋体" w:cs="宋体"/>
          <w:color w:val="auto"/>
          <w:sz w:val="32"/>
          <w:szCs w:val="32"/>
          <w:highlight w:val="none"/>
        </w:rPr>
        <w:t xml:space="preserve">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采购人（以下称甲方）：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p>
      <w:pPr>
        <w:ind w:firstLine="486"/>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根据《中华人民共和国政府采购法》《中华人民共和国民法典》等法律法规的规定，在遵循平等、自愿、公平和诚实信用原则的基础上，甲乙双方按照公开招标结果签订本合同。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第一条  项目名称</w:t>
      </w:r>
      <w:r/>
    </w:p>
    <w:p>
      <w:pPr>
        <w:ind w:left="560"/>
        <w:spacing w:line="440" w:lineRule="exact"/>
        <w:rPr>
          <w:rFonts w:hint="eastAsia" w:ascii="宋体" w:hAnsi="宋体" w:eastAsia="宋体" w:cs="宋体"/>
          <w:color w:val="auto"/>
          <w:szCs w:val="21"/>
          <w:highlight w:val="none"/>
        </w:rPr>
        <w:outlineLvl w:val="0"/>
      </w:pPr>
      <w:r/>
      <w:bookmarkStart w:id="58" w:name="_Toc24179"/>
      <w:r/>
      <w:bookmarkStart w:id="59" w:name="_Toc29812"/>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58"/>
      <w:r/>
      <w:bookmarkEnd w:id="59"/>
      <w:r/>
      <w:r/>
    </w:p>
    <w:p>
      <w:pPr>
        <w:ind w:left="560"/>
        <w:spacing w:line="440" w:lineRule="exact"/>
        <w:rPr>
          <w:rFonts w:hint="eastAsia" w:ascii="宋体" w:hAnsi="宋体" w:eastAsia="宋体" w:cs="宋体"/>
          <w:color w:val="auto"/>
          <w:szCs w:val="21"/>
          <w:highlight w:val="none"/>
        </w:rPr>
        <w:outlineLvl w:val="0"/>
      </w:pPr>
      <w:r/>
      <w:bookmarkStart w:id="60" w:name="_Toc9343"/>
      <w:r/>
      <w:bookmarkStart w:id="61" w:name="_Toc31576"/>
      <w:r>
        <w:rPr>
          <w:rFonts w:hint="eastAsia" w:ascii="宋体" w:hAnsi="宋体" w:eastAsia="宋体" w:cs="宋体"/>
          <w:color w:val="auto"/>
          <w:sz w:val="21"/>
          <w:szCs w:val="21"/>
          <w:highlight w:val="none"/>
        </w:rPr>
        <w:t xml:space="preserve">项目地点：</w:t>
      </w:r>
      <w:r>
        <w:rPr>
          <w:rFonts w:hint="eastAsia" w:ascii="宋体" w:hAnsi="宋体" w:eastAsia="宋体" w:cs="宋体"/>
          <w:color w:val="auto"/>
          <w:sz w:val="21"/>
          <w:szCs w:val="21"/>
          <w:highlight w:val="none"/>
          <w:u w:val="single"/>
        </w:rPr>
        <w:t xml:space="preserve">  泰州市海陵区                 </w:t>
      </w:r>
      <w:r>
        <w:rPr>
          <w:rFonts w:hint="eastAsia" w:ascii="宋体" w:hAnsi="宋体" w:eastAsia="宋体" w:cs="宋体"/>
          <w:color w:val="auto"/>
          <w:sz w:val="21"/>
          <w:szCs w:val="21"/>
          <w:highlight w:val="none"/>
        </w:rPr>
        <w:t xml:space="preserve">。</w:t>
      </w:r>
      <w:bookmarkEnd w:id="60"/>
      <w:r/>
      <w:bookmarkEnd w:id="61"/>
      <w:r>
        <w:rPr>
          <w:rFonts w:hint="eastAsia" w:ascii="宋体" w:hAnsi="宋体" w:eastAsia="宋体" w:cs="宋体"/>
          <w:color w:val="auto"/>
          <w:sz w:val="21"/>
          <w:szCs w:val="21"/>
          <w:highlight w:val="none"/>
        </w:rPr>
        <w:t xml:space="preserve">                                                   </w:t>
      </w:r>
      <w:bookmarkStart w:id="62" w:name="_Toc4393"/>
      <w:r/>
      <w:bookmarkStart w:id="63" w:name="_Toc8364"/>
      <w:r/>
      <w:r/>
    </w:p>
    <w:p>
      <w:pPr>
        <w:ind w:left="560"/>
        <w:spacing w:line="440" w:lineRule="exact"/>
        <w:rPr>
          <w:rFonts w:hint="eastAsia" w:ascii="宋体" w:hAnsi="宋体" w:eastAsia="宋体" w:cs="宋体"/>
          <w:b/>
          <w:color w:val="auto"/>
          <w:szCs w:val="21"/>
          <w:highlight w:val="none"/>
        </w:rPr>
        <w:outlineLvl w:val="0"/>
      </w:pPr>
      <w:r>
        <w:rPr>
          <w:rFonts w:hint="eastAsia" w:ascii="宋体" w:hAnsi="宋体" w:eastAsia="宋体" w:cs="宋体"/>
          <w:b/>
          <w:color w:val="auto"/>
          <w:sz w:val="21"/>
          <w:szCs w:val="21"/>
          <w:highlight w:val="none"/>
        </w:rPr>
        <w:t xml:space="preserve">第二条 养护范围及养护内容：</w:t>
      </w:r>
      <w:bookmarkEnd w:id="62"/>
      <w:r/>
      <w:bookmarkEnd w:id="63"/>
      <w:r/>
      <w:r/>
    </w:p>
    <w:p>
      <w:pPr>
        <w:ind w:firstLine="63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1、养护范围：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613"/>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2、养护内容：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双方对养护内容有详细约定的，可以另附工作量清单。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3、养护工作量的确认：养护范围及养护工作量由甲方、乙方在订立合同前签字确认(若有误差以现场实际数量为准并留存影像资料)。乙方进场后，如发现实际工作量与合同约定不符，应在进场后</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天内，向甲方提交养护工作量差异的报告。甲方接到报告后</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天内对实际养护工作量进行确认，并在计量前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小时通知乙方，乙方为计量提供便利条件并派人参加。合同签订后</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天内，不提出养护工作量差异的报告，视为合同确定的工作量无差异；甲方收到乙方的报告后，在约定时间内不组织计量的，视为认可乙方的差异报告。</w:t>
      </w:r>
      <w:r>
        <w:rPr>
          <w:rFonts w:hint="eastAsia" w:ascii="宋体" w:hAnsi="宋体" w:eastAsia="宋体" w:cs="宋体"/>
          <w:b/>
          <w:color w:val="auto"/>
          <w:sz w:val="21"/>
          <w:szCs w:val="21"/>
          <w:highlight w:val="none"/>
        </w:rPr>
        <w:t xml:space="preserve">（养护清单详见工程量清单）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4、对乙方超出合同约定范围和因乙方原因造成返工的养护工作，甲方不予计量。</w:t>
      </w:r>
      <w:r/>
    </w:p>
    <w:p>
      <w:pPr>
        <w:ind w:firstLine="420"/>
        <w:spacing w:line="440" w:lineRule="exact"/>
        <w:rPr>
          <w:rFonts w:hint="eastAsia" w:ascii="宋体" w:hAnsi="宋体" w:eastAsia="宋体" w:cs="宋体"/>
          <w:color w:val="auto"/>
          <w:szCs w:val="21"/>
          <w:highlight w:val="none"/>
        </w:rPr>
        <w:outlineLvl w:val="0"/>
      </w:pPr>
      <w:r/>
      <w:bookmarkStart w:id="64" w:name="_Toc21349"/>
      <w:r/>
      <w:bookmarkStart w:id="65" w:name="_Toc24231"/>
      <w:r>
        <w:rPr>
          <w:rFonts w:hint="eastAsia" w:ascii="宋体" w:hAnsi="宋体" w:eastAsia="宋体" w:cs="宋体"/>
          <w:color w:val="auto"/>
          <w:sz w:val="21"/>
          <w:szCs w:val="21"/>
          <w:highlight w:val="none"/>
        </w:rPr>
        <w:t xml:space="preserve">5、承包期内管护量=交接双方共同确认数量+承包期内已实施并经签证的新增绿化接管缺陷恢复数量。</w:t>
      </w:r>
      <w:bookmarkEnd w:id="64"/>
      <w:r/>
      <w:bookmarkEnd w:id="65"/>
      <w:r/>
      <w:r/>
    </w:p>
    <w:p>
      <w:pPr>
        <w:ind w:firstLine="420"/>
        <w:spacing w:line="440" w:lineRule="exact"/>
        <w:rPr>
          <w:rFonts w:hint="eastAsia" w:ascii="宋体" w:hAnsi="宋体" w:eastAsia="宋体" w:cs="宋体"/>
          <w:color w:val="auto"/>
          <w:szCs w:val="21"/>
          <w:highlight w:val="none"/>
        </w:rPr>
        <w:outlineLvl w:val="0"/>
      </w:pPr>
      <w:r/>
      <w:bookmarkStart w:id="66" w:name="_Toc18144"/>
      <w:r/>
      <w:bookmarkStart w:id="67" w:name="_Toc26136"/>
      <w:r>
        <w:rPr>
          <w:rFonts w:hint="eastAsia" w:ascii="宋体" w:hAnsi="宋体" w:eastAsia="宋体" w:cs="宋体"/>
          <w:color w:val="auto"/>
          <w:sz w:val="21"/>
          <w:szCs w:val="21"/>
          <w:highlight w:val="none"/>
        </w:rPr>
        <w:t xml:space="preserve">承包期满后，乙方必须按“承包期内管护量”保质保量交付，否则将从履约保证金中扣除相应差额部分的款项。</w:t>
      </w:r>
      <w:bookmarkEnd w:id="66"/>
      <w:r/>
      <w:bookmarkEnd w:id="67"/>
      <w:r/>
      <w:r/>
    </w:p>
    <w:p>
      <w:pPr>
        <w:ind w:firstLine="420"/>
        <w:spacing w:line="440" w:lineRule="exact"/>
        <w:rPr>
          <w:rFonts w:hint="eastAsia" w:ascii="宋体" w:hAnsi="宋体" w:eastAsia="宋体" w:cs="宋体"/>
          <w:color w:val="auto"/>
          <w:szCs w:val="21"/>
          <w:highlight w:val="none"/>
        </w:rPr>
        <w:outlineLvl w:val="0"/>
      </w:pPr>
      <w:r/>
      <w:bookmarkStart w:id="68" w:name="_Toc15019"/>
      <w:r/>
      <w:bookmarkStart w:id="69" w:name="_Toc13440"/>
      <w:r>
        <w:rPr>
          <w:rFonts w:hint="eastAsia" w:ascii="宋体" w:hAnsi="宋体" w:eastAsia="宋体" w:cs="宋体"/>
          <w:color w:val="auto"/>
          <w:sz w:val="21"/>
          <w:szCs w:val="21"/>
          <w:highlight w:val="none"/>
        </w:rPr>
        <w:t xml:space="preserve">6、承包期内因规划调整、建设需要或其他原因发生管护面积减少，发包方将根据乙方投标文件内相应投标报价按实核减经费。</w:t>
      </w:r>
      <w:bookmarkEnd w:id="68"/>
      <w:r/>
      <w:bookmarkEnd w:id="69"/>
      <w:r/>
      <w:r/>
    </w:p>
    <w:p>
      <w:pPr>
        <w:ind w:firstLine="420"/>
        <w:spacing w:line="440" w:lineRule="exact"/>
        <w:rPr>
          <w:rFonts w:hint="eastAsia" w:ascii="宋体" w:hAnsi="宋体" w:eastAsia="宋体" w:cs="宋体"/>
          <w:color w:val="auto"/>
          <w:szCs w:val="21"/>
          <w:highlight w:val="none"/>
        </w:rPr>
        <w:outlineLvl w:val="0"/>
      </w:pPr>
      <w:r/>
      <w:bookmarkStart w:id="70" w:name="_Toc15794"/>
      <w:r/>
      <w:bookmarkStart w:id="71" w:name="_Toc24851"/>
      <w:r>
        <w:rPr>
          <w:rFonts w:hint="eastAsia" w:ascii="宋体" w:hAnsi="宋体" w:eastAsia="宋体" w:cs="宋体"/>
          <w:color w:val="auto"/>
          <w:sz w:val="21"/>
          <w:szCs w:val="21"/>
          <w:highlight w:val="none"/>
        </w:rPr>
        <w:t xml:space="preserve">7、承包期内因恶劣天气造成的苗木损伤，由此引起的损失由乙方承担。</w:t>
      </w:r>
      <w:bookmarkEnd w:id="70"/>
      <w:r/>
      <w:bookmarkEnd w:id="71"/>
      <w:r/>
      <w:r/>
    </w:p>
    <w:p>
      <w:pPr>
        <w:ind w:firstLine="422"/>
        <w:spacing w:line="440" w:lineRule="exact"/>
        <w:rPr>
          <w:rFonts w:hint="eastAsia" w:ascii="宋体" w:hAnsi="宋体" w:eastAsia="宋体" w:cs="宋体"/>
          <w:b/>
          <w:color w:val="auto"/>
          <w:szCs w:val="21"/>
          <w:highlight w:val="none"/>
        </w:rPr>
        <w:outlineLvl w:val="0"/>
      </w:pPr>
      <w:r/>
      <w:bookmarkStart w:id="72" w:name="_Toc4852"/>
      <w:r/>
      <w:bookmarkStart w:id="73" w:name="_Toc27911"/>
      <w:r>
        <w:rPr>
          <w:rFonts w:hint="eastAsia" w:ascii="宋体" w:hAnsi="宋体" w:eastAsia="宋体" w:cs="宋体"/>
          <w:b/>
          <w:color w:val="auto"/>
          <w:sz w:val="21"/>
          <w:szCs w:val="21"/>
          <w:highlight w:val="none"/>
        </w:rPr>
        <w:t xml:space="preserve">第三条 养护期限</w:t>
      </w:r>
      <w:bookmarkEnd w:id="72"/>
      <w:r/>
      <w:bookmarkEnd w:id="73"/>
      <w:r/>
      <w:r/>
    </w:p>
    <w:p>
      <w:pPr>
        <w:ind w:left="559"/>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养护期限为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日止。</w:t>
      </w:r>
      <w:r/>
    </w:p>
    <w:p>
      <w:pPr>
        <w:ind w:firstLine="422"/>
        <w:spacing w:line="440" w:lineRule="exact"/>
        <w:rPr>
          <w:rFonts w:hint="eastAsia" w:ascii="宋体" w:hAnsi="宋体" w:eastAsia="宋体" w:cs="宋体"/>
          <w:b/>
          <w:color w:val="auto"/>
          <w:szCs w:val="21"/>
          <w:highlight w:val="none"/>
        </w:rPr>
        <w:outlineLvl w:val="0"/>
      </w:pPr>
      <w:r/>
      <w:bookmarkStart w:id="74" w:name="_Toc17848"/>
      <w:r/>
      <w:bookmarkStart w:id="75" w:name="_Toc20151"/>
      <w:r>
        <w:rPr>
          <w:rFonts w:hint="eastAsia" w:ascii="宋体" w:hAnsi="宋体" w:eastAsia="宋体" w:cs="宋体"/>
          <w:b/>
          <w:color w:val="auto"/>
          <w:sz w:val="21"/>
          <w:szCs w:val="21"/>
          <w:highlight w:val="none"/>
        </w:rPr>
        <w:t xml:space="preserve">第四条 养护质量和考核</w:t>
      </w:r>
      <w:bookmarkEnd w:id="74"/>
      <w:r/>
      <w:bookmarkEnd w:id="75"/>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1、养护质量</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（1）乙方的养护质量，必须达到《江苏省园林绿化养护管理规范及分级标准》（苏建园2015年383号）规定的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级养护要求。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（2）双方对养护质量有争议，双方同意由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进行鉴定，对鉴定机构的鉴定结论各方不得持有异议。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所需费用及因此造成的损失，由责任方承担。双方均有责任，由双方根据其责任分别承担。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 养护考核</w:t>
      </w:r>
      <w:r/>
    </w:p>
    <w:p>
      <w:pPr>
        <w:ind w:firstLine="420"/>
        <w:spacing w:line="440" w:lineRule="exact"/>
        <w:rPr>
          <w:rFonts w:hint="eastAsia" w:ascii="宋体" w:hAnsi="宋体" w:eastAsia="宋体" w:cs="宋体"/>
          <w:color w:val="auto"/>
          <w:szCs w:val="21"/>
          <w:highlight w:val="none"/>
        </w:rPr>
      </w:pPr>
      <w:r/>
      <w:bookmarkStart w:id="76" w:name="_Toc29001"/>
      <w:r/>
      <w:bookmarkStart w:id="77" w:name="_Toc9514"/>
      <w:r>
        <w:rPr>
          <w:rFonts w:hint="eastAsia" w:ascii="宋体" w:hAnsi="宋体" w:eastAsia="宋体" w:cs="宋体"/>
          <w:color w:val="auto"/>
          <w:sz w:val="21"/>
          <w:szCs w:val="21"/>
          <w:highlight w:val="none"/>
        </w:rPr>
        <w:t xml:space="preserve">一、养护质量标准及考核标准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《绿化养护标准及考核细则》， 具体见附件1。</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二、考核方式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考核工作由发包人组织实施 ，发包人考核 ：发包人组建考核小组，每月不定期开展集中考核 ，进行评判打分。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三、考核计分方法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月度考核得分=发包人考核打分的平均分。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四、结果应用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1、考核分以90分为基础分，每低1分，扣减本月度绿化养护费1%。</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2、月度考核中有三次分值低于80分的，或有两次分值低于75分的，或有一次分值低于70分的，甲方有权取消中标单位绿化养护资格，解除合同。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第五条 双方一般权利和义务</w:t>
      </w:r>
      <w:bookmarkEnd w:id="76"/>
      <w:r/>
      <w:bookmarkEnd w:id="77"/>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1、甲方工作</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（1）将养护工程区域内的树木、草坪、花卉、绿篱、水生植物、水体、园林设施及其它需要养护的设施，列明范围或清单，双方进行现场确认。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（2）提供养护范围内的园林景观设计图纸并对资料的真实准确性负责。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（3）乙方进场后，除双方另有约定外，不负责乙方车辆及大型机械设备的存放以及其他可能导致的设备损毁等责任。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（4）组织召开养护作业要求交底会。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（5）在乙方开展养护工作时，协调乙方与政府部门、相关单位和人员（包括养护范围内的游客）的关系。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（6）按照本合同约定，监督、检查、考核乙方的工作。</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（7）按合同约定和考核结果向乙方支付养护费用。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（8）甲方应做的其他工作：</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2、乙方工作</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（1）根据本合同约定，在合同签订后</w:t>
      </w:r>
      <w:r>
        <w:rPr>
          <w:rFonts w:hint="eastAsia" w:ascii="宋体" w:hAnsi="宋体" w:eastAsia="宋体" w:cs="宋体"/>
          <w:color w:val="auto"/>
          <w:sz w:val="21"/>
          <w:szCs w:val="21"/>
          <w:highlight w:val="none"/>
          <w:u w:val="single"/>
        </w:rPr>
        <w:t xml:space="preserve">7 </w:t>
      </w:r>
      <w:r>
        <w:rPr>
          <w:rFonts w:hint="eastAsia" w:ascii="宋体" w:hAnsi="宋体" w:eastAsia="宋体" w:cs="宋体"/>
          <w:color w:val="auto"/>
          <w:sz w:val="21"/>
          <w:szCs w:val="21"/>
          <w:highlight w:val="none"/>
        </w:rPr>
        <w:t xml:space="preserve">天内，根据相关标准及考核办法等内容制定养护期内相应的总体绿化养护管理方案，报请甲方审核批准，作为实施依据。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建立完善的养护班组，制定养护岗位职责以及各岗位规范、操作规程、养护制度（包括节假日值班制度、防汛防台期间的值班制度和应急抢险工作制度）。根据合同约定，配备技术管理人员和养护操作人员，并将岗位规范、操作规程、管理制度及工作人员的名单以及所签订的劳动合同（聘用合同）</w:t>
      </w:r>
      <w:r>
        <w:rPr>
          <w:rFonts w:hint="eastAsia" w:ascii="宋体" w:hAnsi="宋体" w:eastAsia="宋体" w:cs="宋体"/>
          <w:color w:val="auto"/>
          <w:sz w:val="21"/>
          <w:szCs w:val="21"/>
          <w:highlight w:val="none"/>
          <w:u w:val="single"/>
        </w:rPr>
        <w:t xml:space="preserve">7日</w:t>
      </w:r>
      <w:r>
        <w:rPr>
          <w:rFonts w:hint="eastAsia" w:ascii="宋体" w:hAnsi="宋体" w:eastAsia="宋体" w:cs="宋体"/>
          <w:color w:val="auto"/>
          <w:sz w:val="21"/>
          <w:szCs w:val="21"/>
          <w:highlight w:val="none"/>
        </w:rPr>
        <w:t xml:space="preserve">内交甲方审批备案。管护人员在岗管理：项目负责人每月在管护现场均不得少于</w:t>
      </w:r>
      <w:r>
        <w:rPr>
          <w:rFonts w:hint="eastAsia" w:ascii="宋体" w:hAnsi="宋体" w:eastAsia="宋体" w:cs="宋体"/>
          <w:color w:val="auto"/>
          <w:sz w:val="21"/>
          <w:szCs w:val="21"/>
          <w:highlight w:val="none"/>
          <w:u w:val="single"/>
        </w:rPr>
        <w:t xml:space="preserve">15</w:t>
      </w:r>
      <w:r>
        <w:rPr>
          <w:rFonts w:hint="eastAsia" w:ascii="宋体" w:hAnsi="宋体" w:eastAsia="宋体" w:cs="宋体"/>
          <w:color w:val="auto"/>
          <w:sz w:val="21"/>
          <w:szCs w:val="21"/>
          <w:highlight w:val="none"/>
        </w:rPr>
        <w:t xml:space="preserve">天，项目负责人及现场负责人的每月出勤计划表必须向甲方备案，并履行请假制度，计划出勤日接到甲方通知后半小时内赶到现场。</w:t>
      </w:r>
      <w:r>
        <w:rPr>
          <w:rFonts w:hint="eastAsia" w:ascii="宋体" w:hAnsi="宋体" w:eastAsia="宋体" w:cs="宋体"/>
          <w:color w:val="auto"/>
          <w:szCs w:val="21"/>
          <w:highlight w:val="none"/>
        </w:rPr>
        <w:t xml:space="preserve">现场养护人员至少配备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名绿化工。</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①项目负责人：姓名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证书编号</w:t>
      </w:r>
      <w:r>
        <w:rPr>
          <w:rFonts w:hint="eastAsia" w:ascii="宋体" w:hAnsi="宋体" w:eastAsia="宋体" w:cs="宋体"/>
          <w:color w:val="auto"/>
          <w:sz w:val="21"/>
          <w:szCs w:val="21"/>
          <w:highlight w:val="none"/>
          <w:u w:val="singl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②技术负责人：姓名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证书编号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5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fldChar w:fldCharType="end"/>
      </w:r>
      <w:r>
        <w:rPr>
          <w:rFonts w:hint="eastAsia" w:ascii="宋体" w:hAnsi="宋体" w:eastAsia="宋体" w:cs="宋体"/>
          <w:color w:val="auto"/>
          <w:sz w:val="21"/>
          <w:szCs w:val="21"/>
          <w:highlight w:val="none"/>
        </w:rPr>
        <w:t xml:space="preserve">技术人员：姓名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证书编号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20"/>
        <w:ind w:firstLine="840"/>
        <w:rPr>
          <w:rFonts w:hint="eastAsia" w:hAnsi="宋体" w:eastAsia="宋体" w:cs="宋体"/>
          <w:color w:val="auto"/>
          <w:highlight w:val="none"/>
        </w:rPr>
      </w:pPr>
      <w:r>
        <w:rPr>
          <w:rFonts w:hint="eastAsia"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管护人员着装必须统一、醒目（工作服印有管护单位名称，并有醒目色彩、反光条等）。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根据季节、气候、土壤、植物的生长习性和生长阶段及养护场地的具体情况合理安排、开展养护工作，根据甲方要求及时做好养护区域的局部调整，保证绿化观赏的整体性，并向甲方提供年、季、月度养护管理方案及相应进度统计表。</w:t>
      </w:r>
      <w:r/>
    </w:p>
    <w:p>
      <w:pPr>
        <w:ind w:firstLine="420"/>
        <w:spacing w:line="440" w:lineRule="exact"/>
        <w:rPr>
          <w:rFonts w:hint="eastAsia" w:ascii="宋体" w:hAnsi="宋体" w:eastAsia="宋体" w:cs="宋体"/>
          <w:color w:val="auto"/>
          <w:szCs w:val="21"/>
          <w:highlight w:val="none"/>
        </w:rPr>
        <w:outlineLvl w:val="0"/>
      </w:pPr>
      <w:r/>
      <w:bookmarkStart w:id="78" w:name="_Toc20632"/>
      <w:r/>
      <w:bookmarkStart w:id="79" w:name="_Toc19148"/>
      <w:r>
        <w:rPr>
          <w:rFonts w:hint="eastAsia" w:ascii="宋体" w:hAnsi="宋体" w:eastAsia="宋体" w:cs="宋体"/>
          <w:color w:val="auto"/>
          <w:sz w:val="21"/>
          <w:szCs w:val="21"/>
          <w:highlight w:val="none"/>
        </w:rPr>
        <w:t xml:space="preserve">（4）负责区域内各类植物养护及日常巡视检查，如发现各类苗木、设施有被损、被盗等情况时，应及时向甲方汇报并立即进行补缺、恢复。补栽苗木要与原有苗木规格相同或相近，补栽要严格按照</w:t>
      </w:r>
      <w:r>
        <w:rPr>
          <w:rFonts w:hint="eastAsia" w:ascii="宋体" w:hAnsi="宋体" w:eastAsia="宋体" w:cs="宋体"/>
          <w:color w:val="auto"/>
          <w:sz w:val="21"/>
          <w:szCs w:val="21"/>
          <w:highlight w:val="none"/>
          <w:u w:val="single"/>
        </w:rPr>
        <w:t xml:space="preserve">《园林绿化工程施工及验收规范》(CJJ82-2012)</w:t>
      </w:r>
      <w:r>
        <w:rPr>
          <w:rFonts w:hint="eastAsia" w:ascii="宋体" w:hAnsi="宋体" w:eastAsia="宋体" w:cs="宋体"/>
          <w:color w:val="auto"/>
          <w:sz w:val="21"/>
          <w:szCs w:val="21"/>
          <w:highlight w:val="none"/>
        </w:rPr>
        <w:t xml:space="preserve">执行并报甲方验收。养护合同到期前补栽的苗木，须延续管护6个月，确保成活。</w:t>
      </w:r>
      <w:bookmarkEnd w:id="78"/>
      <w:r/>
      <w:bookmarkEnd w:id="79"/>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5）开展养护工作时，严格遵守政府和有关主管部门对噪音污染、环境保护和安全生产等的管理规定，文明施工；对外开放的养护区域，处理好养护工作与游客的关系。绿化垃圾除双方另有约定外，垃圾由乙方负责清理外运，费用由乙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（6）养护期间，做好养护范围内的地下管线和现有建筑物、构筑物的保护工作。发生损坏均由乙方负责承担。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（7）接受甲方的管理、监督、检查和考核，对甲方发出的整改通知，应及时按甲方的要求进行整改。乙方无正当理由拒绝整改时，甲方可以另行委托他人予以整改，所发生的一切费用由乙方承担。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（8）负责养护工作人员的劳动合同签订、工资发放、社保交纳、劳动保护和人身安全（除双方另有约定外）、养护工作人员的餐饮、住宿由乙方自行承担。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9）乙方养护期间如发生养护植物、树枝（干）伤人事件，或者其他事故的，乙方应承担全部的责任。如甲方先行赔付的，乙方应在甲方赔付后2日内立即偿还甲方垫付的费用，逾期的，按照未偿还部分日万分之八的标准承担违约金，如因此引起诉讼的，乙方还应承担甲方支出的诉讼、律师代理等费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10）建立和健全养护管理档案，对养护管理工作中采集的各种信息、资料及时做好分析整理和归档保存工作，并报送甲方备案。养护管理期满，将养护管理的所有档案资料及养护范围内的各类植物、设施完好地移交给甲方。</w:t>
      </w:r>
      <w:r/>
    </w:p>
    <w:p>
      <w:pPr>
        <w:ind w:firstLine="420"/>
        <w:jc w:val="left"/>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（11）乙方应做的其他工作</w:t>
      </w:r>
      <w:r>
        <w:rPr>
          <w:rFonts w:hint="eastAsia" w:ascii="宋体" w:hAnsi="宋体" w:eastAsia="宋体" w:cs="宋体"/>
          <w:color w:val="auto"/>
          <w:sz w:val="21"/>
          <w:szCs w:val="21"/>
          <w:highlight w:val="none"/>
          <w:u w:val="single"/>
        </w:rPr>
        <w:t xml:space="preserve">                                 </w:t>
      </w:r>
      <w:r/>
    </w:p>
    <w:p>
      <w:pPr>
        <w:ind w:firstLine="422"/>
        <w:spacing w:line="440" w:lineRule="exact"/>
        <w:rPr>
          <w:rFonts w:hint="eastAsia" w:ascii="宋体" w:hAnsi="宋体" w:eastAsia="宋体" w:cs="宋体"/>
          <w:b/>
          <w:color w:val="auto"/>
          <w:szCs w:val="21"/>
          <w:highlight w:val="none"/>
        </w:rPr>
        <w:outlineLvl w:val="0"/>
      </w:pPr>
      <w:r/>
      <w:bookmarkStart w:id="80" w:name="_Toc19552"/>
      <w:r/>
      <w:bookmarkStart w:id="81" w:name="_Toc17360"/>
      <w:r>
        <w:rPr>
          <w:rFonts w:hint="eastAsia" w:ascii="宋体" w:hAnsi="宋体" w:eastAsia="宋体" w:cs="宋体"/>
          <w:b/>
          <w:color w:val="auto"/>
          <w:sz w:val="21"/>
          <w:szCs w:val="21"/>
          <w:highlight w:val="none"/>
        </w:rPr>
        <w:t xml:space="preserve">第六条 安全防护及事故处理</w:t>
      </w:r>
      <w:bookmarkEnd w:id="80"/>
      <w:r/>
      <w:bookmarkEnd w:id="81"/>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1、一般要求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（2）乙方应对其在养护场地的工作人员进行安全教育，并对他们的安全负责。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（3）甲方不得要求乙方违反安全管理的规定进行养护工作。因甲方原因导致的安全事故，由甲方承担相应责任及发生的费用。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2、安全防范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（1）乙方在从事喷洒农药、控制有害生物、修剪树木、修理设施、清理道路或水体、防台防汛等工作时应自行采取相应的安全防护措施。除双方另有约定外，安全防护费用由乙方自行承担。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应保证养护范围内的各项设施能够安全使用，对于存在安全隐患的设施、物品，应及时提请甲方予以修理或更换。对养护范围内的树林、水体或其他可能造成人员伤亡的场所，乙方应提请甲方设置禁止吸烟、禁止火种、禁止游泳等安全警告铭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乙方对土壤进行消毒或防治病虫害时，应使用符合环保要求的药剂，使用药剂须报甲方备案，甲方有权按照备案的药剂监督使用，不得使用国家禁止使用的剧毒、高残留或可能造成其它公害的药剂。乙方喷洒药物之前，须将喷洒时间提前报甲方批准，按甲方批准的时间和路线进行喷洒。瓜果类植物在挂果期间不得喷洒药剂，以防发生意外。残留药剂和容器，乙方应按规定妥善收集和处理。乙方未按规定使用药剂，造成的责任由乙方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3、环境保护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（1）养护期间，乙方应遵守国家有关环境保护的政策、法规。养护范围内的垃圾应按规定清理、外运。污水、废水未处理达标前，不得直接排入河道或其它公共设施，以免造成污染。</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（2）乙方应按《江苏省园林绿化养护管理规范及分级标准》（苏建园2015年383号）要求进行施肥、沤肥。施肥、沤肥不得造成绿化景观和周边环境污染。</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（3）养护期间，在枯水季节，乙方应按合同约定的范围和内容，清理水体淤泥，挖出的淤泥应堆放于甲方指定位置。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（4）养护期间，乙方应按合同约定修整水体堤岸，防止坍塌；但不能擅自挖掘堤岸以扩大水面，亦不能擅自改变堤岸形状、走向。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4、事故处理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（1）养护期间，若发生重大伤亡及其他安全事故，乙方应按有关规定立即上报有关部门并通知甲方，同时按政府有关部门要求处理，由事故责任方承担发生的费用。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（2）甲方、乙方对事故责任有争议时，应按政府有关部门的认定处理。</w:t>
      </w:r>
      <w:r/>
    </w:p>
    <w:p>
      <w:pPr>
        <w:ind w:firstLine="422"/>
        <w:spacing w:line="440" w:lineRule="exact"/>
        <w:rPr>
          <w:rFonts w:hint="eastAsia" w:ascii="宋体" w:hAnsi="宋体" w:eastAsia="宋体" w:cs="宋体"/>
          <w:b/>
          <w:color w:val="auto"/>
          <w:szCs w:val="21"/>
          <w:highlight w:val="none"/>
        </w:rPr>
        <w:outlineLvl w:val="0"/>
      </w:pPr>
      <w:r/>
      <w:bookmarkStart w:id="82" w:name="_Toc20782"/>
      <w:r/>
      <w:bookmarkStart w:id="83" w:name="_Toc26598"/>
      <w:r>
        <w:rPr>
          <w:rFonts w:hint="eastAsia" w:ascii="宋体" w:hAnsi="宋体" w:eastAsia="宋体" w:cs="宋体"/>
          <w:b/>
          <w:color w:val="auto"/>
          <w:sz w:val="21"/>
          <w:szCs w:val="21"/>
          <w:highlight w:val="none"/>
        </w:rPr>
        <w:t xml:space="preserve">第七条 合同价款与支付</w:t>
      </w:r>
      <w:bookmarkEnd w:id="82"/>
      <w:r/>
      <w:bookmarkEnd w:id="8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1、合同价款及调整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（1）本养护项目，双方约定合同价款为</w:t>
      </w:r>
      <w:r>
        <w:rPr>
          <w:rFonts w:hint="eastAsia" w:ascii="宋体" w:hAnsi="宋体" w:eastAsia="宋体" w:cs="宋体"/>
          <w:color w:val="auto"/>
          <w:sz w:val="21"/>
          <w:szCs w:val="21"/>
          <w:highlight w:val="none"/>
          <w:u w:val="single"/>
        </w:rPr>
        <w:t xml:space="preserve">          元/年 </w:t>
      </w:r>
      <w:r>
        <w:rPr>
          <w:rFonts w:hint="eastAsia" w:ascii="宋体" w:hAnsi="宋体" w:eastAsia="宋体" w:cs="宋体"/>
          <w:color w:val="auto"/>
          <w:sz w:val="21"/>
          <w:szCs w:val="21"/>
          <w:highlight w:val="none"/>
        </w:rPr>
        <w:t xml:space="preserve">（大写：每年养护费人民币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Cs w:val="21"/>
          <w:highlight w:val="none"/>
        </w:rPr>
        <w:outlineLvl w:val="0"/>
      </w:pPr>
      <w:r/>
      <w:bookmarkStart w:id="84" w:name="_Toc25781"/>
      <w:r/>
      <w:bookmarkStart w:id="85" w:name="_Toc3456"/>
      <w:r>
        <w:rPr>
          <w:rFonts w:hint="eastAsia" w:ascii="宋体" w:hAnsi="宋体" w:eastAsia="宋体" w:cs="宋体"/>
          <w:color w:val="auto"/>
          <w:sz w:val="21"/>
          <w:szCs w:val="21"/>
          <w:highlight w:val="none"/>
        </w:rPr>
        <w:t xml:space="preserve">（2）双方确认的计算合同价款的工作量清单或预算书，可作为合同附件。</w:t>
      </w:r>
      <w:bookmarkEnd w:id="84"/>
      <w:r/>
      <w:bookmarkEnd w:id="85"/>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（3）双方约定，合同价款的调整因素、调整方法如下：</w:t>
      </w:r>
      <w:r>
        <w:rPr>
          <w:rFonts w:hint="eastAsia" w:ascii="宋体" w:hAnsi="宋体" w:eastAsia="宋体" w:cs="宋体"/>
          <w:color w:val="auto"/>
          <w:sz w:val="21"/>
          <w:szCs w:val="21"/>
          <w:highlight w:val="none"/>
          <w:u w:val="single"/>
        </w:rPr>
        <w:t xml:space="preserve">承包期内管护量=交接双方共同确认数量+承包期内已实施并经签证的新增绿化接管缺陷恢复数量。承包期满后，乙方必须按“承包期内管护量”保质保量交付，否则将从履约保证金中扣除相应差额部分的款项。承包期内因规划调整、建设需要或其他原因发生管护面积减少，发包方将根据乙方投标文件中相应投标报价按实核减经费。</w:t>
      </w:r>
      <w:r>
        <w:rPr>
          <w:rFonts w:hint="eastAsia" w:ascii="宋体" w:hAnsi="宋体" w:eastAsia="宋体" w:cs="宋体"/>
          <w:color w:val="auto"/>
          <w:sz w:val="21"/>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（4）因乙方自身原因导致的养护变更或者养护补救措施，乙方无权要求追加合同价款。</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2、合同价款的支付方式</w:t>
      </w:r>
      <w:r/>
    </w:p>
    <w:p>
      <w:pPr>
        <w:ind w:firstLine="420"/>
        <w:spacing w:line="440" w:lineRule="exact"/>
        <w:rPr>
          <w:rFonts w:hint="eastAsia" w:ascii="宋体" w:hAnsi="宋体" w:eastAsia="宋体" w:cs="宋体"/>
          <w:color w:val="auto"/>
          <w:szCs w:val="21"/>
          <w:highlight w:val="none"/>
        </w:rPr>
        <w:outlineLvl w:val="0"/>
      </w:pPr>
      <w:r/>
      <w:bookmarkStart w:id="86" w:name="_Toc26977"/>
      <w:r/>
      <w:bookmarkStart w:id="87" w:name="_Toc25897"/>
      <w:r>
        <w:rPr>
          <w:rFonts w:hint="eastAsia" w:ascii="宋体" w:hAnsi="宋体" w:eastAsia="宋体" w:cs="宋体"/>
          <w:color w:val="auto"/>
          <w:sz w:val="21"/>
          <w:szCs w:val="21"/>
          <w:highlight w:val="none"/>
        </w:rPr>
        <w:t xml:space="preserve">双方约定，本合同养护价款支付方式如下：</w:t>
      </w:r>
      <w:bookmarkEnd w:id="86"/>
      <w:r/>
      <w:bookmarkEnd w:id="87"/>
      <w:r>
        <w:rPr>
          <w:rFonts w:hint="eastAsia" w:ascii="宋体" w:hAnsi="宋体" w:eastAsia="宋体" w:cs="宋体"/>
          <w:color w:val="auto"/>
          <w:sz w:val="21"/>
          <w:szCs w:val="21"/>
          <w:highlight w:val="none"/>
        </w:rPr>
        <w:t xml:space="preserve">见招标文件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3、养护价款的支付与养护质量挂钩。达不到合同约定的养护质量标准时，双方约定按照以下方式核减合同价款：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440" w:lineRule="exact"/>
        <w:rPr>
          <w:rFonts w:hint="eastAsia" w:ascii="宋体" w:hAnsi="宋体" w:eastAsia="宋体" w:cs="宋体"/>
          <w:color w:val="auto"/>
          <w:szCs w:val="21"/>
          <w:highlight w:val="none"/>
        </w:rPr>
        <w:outlineLvl w:val="0"/>
      </w:pPr>
      <w:r/>
      <w:bookmarkStart w:id="88" w:name="_Toc10470"/>
      <w:r/>
      <w:bookmarkStart w:id="89" w:name="_Toc19284"/>
      <w:r>
        <w:rPr>
          <w:rFonts w:hint="eastAsia" w:ascii="宋体" w:hAnsi="宋体" w:eastAsia="宋体" w:cs="宋体"/>
          <w:color w:val="auto"/>
          <w:sz w:val="21"/>
          <w:szCs w:val="21"/>
          <w:highlight w:val="none"/>
        </w:rPr>
        <w:t xml:space="preserve">4、合同期满前乙方应与下轮管护单位交接手续。绿地存在问题的，乙方必须在规定时间内按要求整改到位后再移交下轮管护单位。逾期整改不到位的，则由新一轮管护单位整改，所发生费用由原管护单位承担，并从原管护单位的管护经费款中扣除，不足部分从履约保证金中扣除。</w:t>
      </w:r>
      <w:bookmarkEnd w:id="88"/>
      <w:r/>
      <w:bookmarkEnd w:id="89"/>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5、按照本合同第7.1条第（3）款确定的增减合同价款，应与养护进度款同期调整支付。</w:t>
      </w:r>
      <w:r/>
    </w:p>
    <w:p>
      <w:pPr>
        <w:ind w:firstLine="422"/>
        <w:spacing w:line="440" w:lineRule="exact"/>
        <w:rPr>
          <w:rFonts w:hint="eastAsia" w:ascii="宋体" w:hAnsi="宋体" w:eastAsia="宋体" w:cs="宋体"/>
          <w:b/>
          <w:color w:val="auto"/>
          <w:szCs w:val="21"/>
          <w:highlight w:val="none"/>
        </w:rPr>
        <w:outlineLvl w:val="0"/>
      </w:pPr>
      <w:r/>
      <w:bookmarkStart w:id="90" w:name="_Toc27605"/>
      <w:r/>
      <w:bookmarkStart w:id="91" w:name="_Toc12107"/>
      <w:r>
        <w:rPr>
          <w:rFonts w:hint="eastAsia" w:ascii="宋体" w:hAnsi="宋体" w:eastAsia="宋体" w:cs="宋体"/>
          <w:b/>
          <w:color w:val="auto"/>
          <w:sz w:val="21"/>
          <w:szCs w:val="21"/>
          <w:highlight w:val="none"/>
        </w:rPr>
        <w:t xml:space="preserve">第八条 养护施工所需机械、材料、器具设备</w:t>
      </w:r>
      <w:bookmarkEnd w:id="90"/>
      <w:r/>
      <w:bookmarkEnd w:id="91"/>
      <w:r>
        <w:rPr>
          <w:rFonts w:hint="eastAsia" w:ascii="宋体" w:hAnsi="宋体" w:eastAsia="宋体" w:cs="宋体"/>
          <w:b/>
          <w:color w:val="auto"/>
          <w:sz w:val="21"/>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1、甲方提供的养护用材料、设备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（1）双方约定，本合同履行期间，下列材料、设备由甲方提供：甲方提供材料、设备的名录：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（2）甲方提供材料、设备的，在所供材料、设备送达养护场地前24小时通知乙方，由乙方派人与甲方共同清点。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（3）甲方提供的材料、设备，乙方派人参加清点后由乙方妥善保管。因乙方原因发生丢失或损坏的，由乙方负责赔偿。甲方未通知乙方清点的，乙方不负责材料、设备的保管，丢失或损坏的责任由甲方承担。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（4）因甲方提供的材料、设备不合格，导致的损失由甲方承担。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2、乙方机械</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具备应急处置机动车（面包车或轿车）、洒水车、绿篱修剪机、草坪修剪机等必要的机械。确保管护工作的正常开展。</w:t>
      </w:r>
      <w:r/>
    </w:p>
    <w:p>
      <w:pPr>
        <w:ind w:firstLine="422"/>
        <w:spacing w:line="440" w:lineRule="exact"/>
        <w:rPr>
          <w:rFonts w:hint="eastAsia" w:ascii="宋体" w:hAnsi="宋体" w:eastAsia="宋体" w:cs="宋体"/>
          <w:b/>
          <w:color w:val="auto"/>
          <w:szCs w:val="21"/>
          <w:highlight w:val="none"/>
        </w:rPr>
        <w:outlineLvl w:val="0"/>
      </w:pPr>
      <w:r/>
      <w:bookmarkStart w:id="92" w:name="_Toc8262"/>
      <w:r/>
      <w:bookmarkStart w:id="93" w:name="_Toc5889"/>
      <w:r>
        <w:rPr>
          <w:rFonts w:hint="eastAsia" w:ascii="宋体" w:hAnsi="宋体" w:eastAsia="宋体" w:cs="宋体"/>
          <w:b/>
          <w:color w:val="auto"/>
          <w:sz w:val="21"/>
          <w:szCs w:val="21"/>
          <w:highlight w:val="none"/>
        </w:rPr>
        <w:t xml:space="preserve">第九条 违约责任</w:t>
      </w:r>
      <w:bookmarkEnd w:id="92"/>
      <w:r/>
      <w:bookmarkEnd w:id="9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1、甲方违约责任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（1）甲方未按合同约定，逾期支付养护款，造成的损失由甲方承担。</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（2）甲方应承担的其他违约责任：</w:t>
      </w:r>
      <w:r>
        <w:rPr>
          <w:rFonts w:hint="eastAsia" w:ascii="宋体" w:hAnsi="宋体" w:eastAsia="宋体" w:cs="宋体"/>
          <w:color w:val="auto"/>
          <w:sz w:val="21"/>
          <w:szCs w:val="21"/>
          <w:highlight w:val="none"/>
          <w:u w:val="singl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2、乙方违约责任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（1）因乙方原因，养护质量未达到合同约定的养护标准，乙方应采取补救措施，并赔偿甲方损失。</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（2）未经甲方同意，乙方不得擅自将承包的养护项目进行分包或转包给他人，否则甲方有权解除合同，并有权要求乙方承担不低于人民币</w:t>
      </w:r>
      <w:r>
        <w:rPr>
          <w:rFonts w:hint="eastAsia" w:ascii="宋体" w:hAnsi="宋体" w:eastAsia="宋体" w:cs="宋体"/>
          <w:color w:val="auto"/>
          <w:sz w:val="21"/>
          <w:szCs w:val="21"/>
          <w:highlight w:val="none"/>
          <w:u w:val="single"/>
        </w:rPr>
        <w:t xml:space="preserve">五万</w:t>
      </w:r>
      <w:r>
        <w:rPr>
          <w:rFonts w:hint="eastAsia" w:ascii="宋体" w:hAnsi="宋体" w:eastAsia="宋体" w:cs="宋体"/>
          <w:color w:val="auto"/>
          <w:sz w:val="21"/>
          <w:szCs w:val="21"/>
          <w:highlight w:val="none"/>
        </w:rPr>
        <w:t xml:space="preserve">元的违约金，给甲方造成损失大于违约金的，还应承担相应赔偿责任。 </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（3）乙方应承担的其他违约责任：</w:t>
      </w:r>
      <w:r>
        <w:rPr>
          <w:rFonts w:hint="eastAsia" w:ascii="宋体" w:hAnsi="宋体" w:eastAsia="宋体" w:cs="宋体"/>
          <w:color w:val="auto"/>
          <w:sz w:val="21"/>
          <w:szCs w:val="21"/>
          <w:highlight w:val="none"/>
          <w:u w:val="single"/>
        </w:rPr>
        <w:t xml:space="preserve">                           </w:t>
      </w:r>
      <w:r/>
    </w:p>
    <w:p>
      <w:pPr>
        <w:ind w:firstLine="422"/>
        <w:spacing w:line="440" w:lineRule="exact"/>
        <w:rPr>
          <w:rFonts w:hint="eastAsia" w:ascii="宋体" w:hAnsi="宋体" w:eastAsia="宋体" w:cs="宋体"/>
          <w:b/>
          <w:color w:val="auto"/>
          <w:szCs w:val="21"/>
          <w:highlight w:val="none"/>
        </w:rPr>
        <w:outlineLvl w:val="0"/>
      </w:pPr>
      <w:r/>
      <w:bookmarkStart w:id="94" w:name="_Toc21546"/>
      <w:r/>
      <w:bookmarkStart w:id="95" w:name="_Toc26751"/>
      <w:r>
        <w:rPr>
          <w:rFonts w:hint="eastAsia" w:ascii="宋体" w:hAnsi="宋体" w:eastAsia="宋体" w:cs="宋体"/>
          <w:b/>
          <w:color w:val="auto"/>
          <w:sz w:val="21"/>
          <w:szCs w:val="21"/>
          <w:highlight w:val="none"/>
        </w:rPr>
        <w:t xml:space="preserve">第十条 终止合同条款</w:t>
      </w:r>
      <w:bookmarkEnd w:id="94"/>
      <w:r/>
      <w:bookmarkEnd w:id="95"/>
      <w:r/>
      <w:r/>
    </w:p>
    <w:p>
      <w:pPr>
        <w:ind w:firstLine="315"/>
        <w:spacing w:line="440" w:lineRule="exact"/>
        <w:rPr>
          <w:rFonts w:hint="eastAsia" w:ascii="宋体" w:hAnsi="宋体" w:eastAsia="宋体" w:cs="宋体"/>
          <w:color w:val="auto"/>
          <w:szCs w:val="21"/>
          <w:highlight w:val="none"/>
        </w:rPr>
        <w:outlineLvl w:val="0"/>
      </w:pPr>
      <w:r/>
      <w:bookmarkStart w:id="96" w:name="_Toc25965"/>
      <w:r/>
      <w:bookmarkStart w:id="97" w:name="_Toc10758"/>
      <w:r>
        <w:rPr>
          <w:rFonts w:hint="eastAsia" w:ascii="宋体" w:hAnsi="宋体" w:eastAsia="宋体" w:cs="宋体"/>
          <w:color w:val="auto"/>
          <w:sz w:val="21"/>
          <w:szCs w:val="21"/>
          <w:highlight w:val="none"/>
        </w:rPr>
        <w:t xml:space="preserve">1、</w:t>
      </w:r>
      <w:bookmarkEnd w:id="96"/>
      <w:r/>
      <w:bookmarkEnd w:id="97"/>
      <w:r/>
      <w:bookmarkStart w:id="98" w:name="_Toc25881"/>
      <w:r/>
      <w:bookmarkStart w:id="99" w:name="_Toc25672"/>
      <w:r>
        <w:rPr>
          <w:rFonts w:hint="eastAsia" w:ascii="宋体" w:hAnsi="宋体" w:eastAsia="宋体" w:cs="宋体"/>
          <w:color w:val="auto"/>
          <w:sz w:val="21"/>
          <w:szCs w:val="21"/>
          <w:highlight w:val="none"/>
        </w:rPr>
        <w:t xml:space="preserve">连续2次考核分低于85分的，甲方有权终止协议，另选其他单位。</w:t>
      </w:r>
      <w:r/>
    </w:p>
    <w:p>
      <w:pPr>
        <w:ind w:firstLine="315"/>
        <w:spacing w:line="440" w:lineRule="exact"/>
        <w:rPr>
          <w:rFonts w:hint="eastAsia" w:ascii="宋体" w:hAnsi="宋体" w:eastAsia="宋体" w:cs="宋体"/>
          <w:color w:val="auto"/>
          <w:szCs w:val="21"/>
          <w:highlight w:val="none"/>
        </w:rPr>
        <w:outlineLvl w:val="0"/>
      </w:pPr>
      <w:r>
        <w:rPr>
          <w:rFonts w:hint="eastAsia" w:ascii="宋体" w:hAnsi="宋体" w:eastAsia="宋体" w:cs="宋体"/>
          <w:color w:val="auto"/>
          <w:sz w:val="21"/>
          <w:szCs w:val="21"/>
          <w:highlight w:val="none"/>
        </w:rPr>
        <w:t xml:space="preserve">2、一年中累计3次不良记录的，自第三次不良记录发生日起，终止该标段管护合同。</w:t>
      </w:r>
      <w:bookmarkEnd w:id="98"/>
      <w:r/>
      <w:bookmarkEnd w:id="99"/>
      <w:r/>
      <w:r/>
    </w:p>
    <w:p>
      <w:pPr>
        <w:ind w:firstLine="315"/>
        <w:spacing w:line="440" w:lineRule="exact"/>
        <w:rPr>
          <w:rFonts w:hint="eastAsia" w:ascii="宋体" w:hAnsi="宋体" w:eastAsia="宋体" w:cs="宋体"/>
          <w:color w:val="auto"/>
          <w:szCs w:val="21"/>
          <w:highlight w:val="none"/>
        </w:rPr>
        <w:outlineLvl w:val="0"/>
      </w:pPr>
      <w:r/>
      <w:bookmarkStart w:id="100" w:name="_Toc4277"/>
      <w:r/>
      <w:bookmarkStart w:id="101" w:name="_Toc31486"/>
      <w:r>
        <w:rPr>
          <w:rFonts w:hint="eastAsia" w:ascii="宋体" w:hAnsi="宋体" w:eastAsia="宋体" w:cs="宋体"/>
          <w:color w:val="auto"/>
          <w:sz w:val="21"/>
          <w:szCs w:val="21"/>
          <w:highlight w:val="none"/>
        </w:rPr>
        <w:t xml:space="preserve">终止合同的管护单位叁年内不得承担本处管护任务。</w:t>
      </w:r>
      <w:bookmarkEnd w:id="100"/>
      <w:r/>
      <w:bookmarkEnd w:id="101"/>
      <w:r/>
      <w:r/>
    </w:p>
    <w:p>
      <w:pPr>
        <w:ind w:firstLine="315"/>
        <w:spacing w:line="440" w:lineRule="exact"/>
        <w:rPr>
          <w:rFonts w:hint="eastAsia" w:ascii="宋体" w:hAnsi="宋体" w:eastAsia="宋体" w:cs="宋体"/>
          <w:color w:val="auto"/>
          <w:szCs w:val="21"/>
          <w:highlight w:val="none"/>
        </w:rPr>
        <w:outlineLvl w:val="0"/>
      </w:pPr>
      <w:r/>
      <w:bookmarkStart w:id="102" w:name="_Toc3521"/>
      <w:r/>
      <w:bookmarkStart w:id="103" w:name="_Toc14152"/>
      <w:r>
        <w:rPr>
          <w:rFonts w:hint="eastAsia" w:ascii="宋体" w:hAnsi="宋体" w:eastAsia="宋体" w:cs="宋体"/>
          <w:color w:val="auto"/>
          <w:sz w:val="21"/>
          <w:szCs w:val="21"/>
          <w:highlight w:val="none"/>
        </w:rPr>
        <w:t xml:space="preserve">3、合同终止或者甲方提出提前解除合同的，乙方应在甲方对本合同第二条约定养护范围内的绿化等进行验收后，办理移交手续。如未验收通过，乙方仍应按照甲方要求继续整改，该期间整改的费用由乙方承担。乙方不予整改的，甲方有权请第三方整改，所有费用均由乙方承担。甲方验收合格后，乙方应立即办理移交手续。</w:t>
      </w:r>
      <w:bookmarkEnd w:id="102"/>
      <w:r/>
      <w:bookmarkEnd w:id="103"/>
      <w:r/>
      <w:r/>
    </w:p>
    <w:p>
      <w:pPr>
        <w:ind w:firstLine="422"/>
        <w:spacing w:line="440" w:lineRule="exact"/>
        <w:rPr>
          <w:rFonts w:hint="eastAsia" w:ascii="宋体" w:hAnsi="宋体" w:eastAsia="宋体" w:cs="宋体"/>
          <w:b/>
          <w:color w:val="auto"/>
          <w:szCs w:val="21"/>
          <w:highlight w:val="none"/>
        </w:rPr>
        <w:outlineLvl w:val="0"/>
      </w:pPr>
      <w:r/>
      <w:bookmarkStart w:id="104" w:name="_Toc5075"/>
      <w:r/>
      <w:bookmarkStart w:id="105" w:name="_Toc4717"/>
      <w:r>
        <w:rPr>
          <w:rFonts w:hint="eastAsia" w:ascii="宋体" w:hAnsi="宋体" w:eastAsia="宋体" w:cs="宋体"/>
          <w:b/>
          <w:color w:val="auto"/>
          <w:sz w:val="21"/>
          <w:szCs w:val="21"/>
          <w:highlight w:val="none"/>
        </w:rPr>
        <w:t xml:space="preserve">第十一条 合同争议的解决</w:t>
      </w:r>
      <w:bookmarkEnd w:id="104"/>
      <w:r/>
      <w:bookmarkEnd w:id="105"/>
      <w:r/>
      <w:r/>
    </w:p>
    <w:p>
      <w:pPr>
        <w:ind w:firstLine="567"/>
        <w:spacing w:line="440" w:lineRule="exact"/>
        <w:rPr>
          <w:rFonts w:hint="eastAsia" w:ascii="宋体" w:hAnsi="宋体" w:eastAsia="宋体" w:cs="宋体"/>
          <w:color w:val="auto"/>
          <w:szCs w:val="21"/>
          <w:highlight w:val="none"/>
        </w:rPr>
      </w:pPr>
      <w:r>
        <w:rPr>
          <w:rFonts w:hint="eastAsia" w:ascii="宋体" w:hAnsi="宋体" w:eastAsia="宋体" w:cs="宋体"/>
          <w:color w:val="auto"/>
          <w:spacing w:val="-4"/>
          <w:sz w:val="21"/>
          <w:szCs w:val="21"/>
          <w:highlight w:val="none"/>
        </w:rPr>
        <w:t xml:space="preserve">双方发生争议的，可协商解决，或向有关部门申请调解。</w:t>
      </w:r>
      <w:r/>
    </w:p>
    <w:p>
      <w:pPr>
        <w:ind w:firstLine="422"/>
        <w:spacing w:line="440" w:lineRule="exact"/>
        <w:rPr>
          <w:rFonts w:hint="eastAsia" w:ascii="宋体" w:hAnsi="宋体" w:eastAsia="宋体" w:cs="宋体"/>
          <w:b/>
          <w:color w:val="auto"/>
          <w:szCs w:val="21"/>
          <w:highlight w:val="none"/>
        </w:rPr>
        <w:outlineLvl w:val="0"/>
      </w:pPr>
      <w:r/>
      <w:bookmarkStart w:id="106" w:name="_Toc29476"/>
      <w:r/>
      <w:bookmarkStart w:id="107" w:name="_Toc15724"/>
      <w:r>
        <w:rPr>
          <w:rFonts w:hint="eastAsia" w:ascii="宋体" w:hAnsi="宋体" w:eastAsia="宋体" w:cs="宋体"/>
          <w:b/>
          <w:color w:val="auto"/>
          <w:sz w:val="21"/>
          <w:szCs w:val="21"/>
          <w:highlight w:val="none"/>
        </w:rPr>
        <w:t xml:space="preserve">第十二条 附则</w:t>
      </w:r>
      <w:bookmarkEnd w:id="106"/>
      <w:r/>
      <w:bookmarkEnd w:id="107"/>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本合同正本两份，具有同等效力，由甲方、乙方分别保存一份。</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本合同副本</w:t>
      </w:r>
      <w:r>
        <w:rPr>
          <w:rFonts w:hint="eastAsia" w:ascii="宋体" w:hAnsi="宋体" w:eastAsia="宋体" w:cs="宋体"/>
          <w:color w:val="auto"/>
          <w:sz w:val="21"/>
          <w:szCs w:val="21"/>
          <w:highlight w:val="none"/>
          <w:u w:val="single"/>
        </w:rPr>
        <w:t xml:space="preserve">四</w:t>
      </w:r>
      <w:r>
        <w:rPr>
          <w:rFonts w:hint="eastAsia" w:ascii="宋体" w:hAnsi="宋体" w:eastAsia="宋体" w:cs="宋体"/>
          <w:color w:val="auto"/>
          <w:sz w:val="21"/>
          <w:szCs w:val="21"/>
          <w:highlight w:val="none"/>
        </w:rPr>
        <w:t xml:space="preserve">份，双方各执</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等部门各一份。</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发  包  方：（公章）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承  包  方：（公章）</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住      所：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住      所： </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法定代表人：</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委托代理人：</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      话：</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传      真：</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开户银行：</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帐      号：</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帐      号：</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邮政编码：</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left="34"/>
        <w:spacing w:before="72" w:line="176" w:lineRule="auto"/>
        <w:rPr>
          <w:rFonts w:hint="eastAsia" w:ascii="宋体" w:hAnsi="宋体" w:eastAsia="宋体" w:cs="宋体"/>
          <w:b/>
          <w:bCs/>
          <w:color w:val="auto"/>
          <w:sz w:val="28"/>
          <w:szCs w:val="28"/>
          <w:highlight w:val="none"/>
        </w:rPr>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color w:val="auto"/>
          <w:sz w:val="28"/>
          <w:szCs w:val="28"/>
          <w:highlight w:val="none"/>
        </w:rPr>
      </w:r>
      <w:r/>
    </w:p>
    <w:p>
      <w:pPr>
        <w:ind w:left="34"/>
        <w:spacing w:before="72" w:line="176"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附件1：绿化养护标准及考核细则</w:t>
      </w:r>
      <w:r/>
    </w:p>
    <w:p>
      <w:pPr>
        <w:ind w:left="34"/>
        <w:jc w:val="center"/>
        <w:spacing w:before="72" w:line="176"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34"/>
        <w:jc w:val="center"/>
        <w:spacing w:before="72" w:line="176"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绿化养护标准及考核细则</w:t>
      </w:r>
      <w:r/>
    </w:p>
    <w:tbl>
      <w:tblPr>
        <w:tblStyle w:val="1153"/>
        <w:tblpPr w:horzAnchor="page" w:tblpX="394" w:vertAnchor="text" w:tblpY="445" w:leftFromText="180" w:topFromText="0" w:rightFromText="180" w:bottomFromText="0"/>
        <w:tblW w:w="1573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768"/>
        <w:gridCol w:w="6852"/>
        <w:gridCol w:w="704"/>
        <w:gridCol w:w="6052"/>
        <w:gridCol w:w="784"/>
      </w:tblGrid>
      <w:tr>
        <w:trPr>
          <w:trHeight w:val="336"/>
        </w:trPr>
        <w:tc>
          <w:tcPr>
            <w:gridSpan w:val="2"/>
            <w:tcBorders>
              <w:right w:val="single" w:color="000000" w:sz="4" w:space="0"/>
            </w:tcBorders>
            <w:tcW w:w="1340" w:type="dxa"/>
            <w:textDirection w:val="lrTb"/>
            <w:noWrap w:val="false"/>
          </w:tcPr>
          <w:p>
            <w:pPr>
              <w:ind w:left="434"/>
              <w:spacing w:before="63" w:line="231" w:lineRule="auto"/>
              <w:rPr>
                <w:rFonts w:hint="eastAsia" w:ascii="宋体" w:hAnsi="宋体" w:eastAsia="宋体" w:cs="宋体"/>
                <w:color w:val="auto"/>
                <w:sz w:val="20"/>
                <w:highlight w:val="none"/>
              </w:rPr>
            </w:pPr>
            <w:r>
              <w:rPr>
                <w:rFonts w:hint="eastAsia" w:ascii="宋体" w:hAnsi="宋体" w:eastAsia="宋体" w:cs="宋体"/>
                <w:color w:val="auto"/>
                <w:spacing w:val="2"/>
                <w:sz w:val="20"/>
                <w:highlight w:val="none"/>
              </w:rPr>
              <w:t xml:space="preserve">标段</w:t>
            </w:r>
            <w:r/>
          </w:p>
        </w:tc>
        <w:tc>
          <w:tcPr>
            <w:gridSpan w:val="2"/>
            <w:tcBorders>
              <w:left w:val="single" w:color="000000" w:sz="4" w:space="0"/>
              <w:right w:val="single" w:color="000000" w:sz="4" w:space="0"/>
            </w:tcBorders>
            <w:tcW w:w="7556"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left w:val="single" w:color="000000" w:sz="4" w:space="0"/>
            </w:tcBorders>
            <w:tcW w:w="6052" w:type="dxa"/>
            <w:textDirection w:val="lrTb"/>
            <w:noWrap w:val="false"/>
          </w:tcPr>
          <w:p>
            <w:pPr>
              <w:ind w:left="2409"/>
              <w:spacing w:before="63" w:line="231" w:lineRule="auto"/>
              <w:rPr>
                <w:rFonts w:hint="eastAsia" w:ascii="宋体" w:hAnsi="宋体" w:eastAsia="宋体" w:cs="宋体"/>
                <w:color w:val="auto"/>
                <w:sz w:val="20"/>
                <w:highlight w:val="none"/>
              </w:rPr>
            </w:pPr>
            <w:r>
              <w:rPr>
                <w:rFonts w:hint="eastAsia" w:ascii="宋体" w:hAnsi="宋体" w:eastAsia="宋体" w:cs="宋体"/>
                <w:color w:val="auto"/>
                <w:spacing w:val="8"/>
                <w:sz w:val="20"/>
                <w:highlight w:val="none"/>
              </w:rPr>
              <w:t xml:space="preserve">主</w:t>
            </w:r>
            <w:r>
              <w:rPr>
                <w:rFonts w:hint="eastAsia" w:ascii="宋体" w:hAnsi="宋体" w:eastAsia="宋体" w:cs="宋体"/>
                <w:color w:val="auto"/>
                <w:spacing w:val="6"/>
                <w:sz w:val="20"/>
                <w:highlight w:val="none"/>
              </w:rPr>
              <w:t xml:space="preserve">观考核得分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648"/>
        </w:trPr>
        <w:tc>
          <w:tcPr>
            <w:tcW w:w="572" w:type="dxa"/>
            <w:textDirection w:val="lrTb"/>
            <w:noWrap w:val="false"/>
          </w:tcPr>
          <w:p>
            <w:pPr>
              <w:ind w:left="84"/>
              <w:spacing w:before="217" w:line="231" w:lineRule="auto"/>
              <w:rPr>
                <w:rFonts w:hint="eastAsia" w:ascii="宋体" w:hAnsi="宋体" w:eastAsia="宋体" w:cs="宋体"/>
                <w:color w:val="auto"/>
                <w:sz w:val="20"/>
                <w:highlight w:val="none"/>
              </w:rPr>
            </w:pPr>
            <w:r>
              <w:rPr>
                <w:rFonts w:hint="eastAsia" w:ascii="宋体" w:hAnsi="宋体" w:eastAsia="宋体" w:cs="宋体"/>
                <w:color w:val="auto"/>
                <w:spacing w:val="2"/>
                <w:sz w:val="20"/>
                <w:highlight w:val="none"/>
              </w:rPr>
              <w:t xml:space="preserve">序号</w:t>
            </w:r>
            <w:r/>
          </w:p>
        </w:tc>
        <w:tc>
          <w:tcPr>
            <w:tcBorders>
              <w:right w:val="single" w:color="000000" w:sz="4" w:space="0"/>
            </w:tcBorders>
            <w:tcW w:w="768" w:type="dxa"/>
            <w:textDirection w:val="lrTb"/>
            <w:noWrap w:val="false"/>
          </w:tcPr>
          <w:p>
            <w:pPr>
              <w:ind w:left="147"/>
              <w:spacing w:before="56" w:line="319" w:lineRule="exact"/>
              <w:rPr>
                <w:rFonts w:hint="eastAsia" w:ascii="宋体" w:hAnsi="宋体" w:eastAsia="宋体" w:cs="宋体"/>
                <w:color w:val="auto"/>
                <w:sz w:val="20"/>
                <w:highlight w:val="none"/>
              </w:rPr>
            </w:pPr>
            <w:r>
              <w:rPr>
                <w:rFonts w:hint="eastAsia" w:ascii="宋体" w:hAnsi="宋体" w:eastAsia="宋体" w:cs="宋体"/>
                <w:color w:val="auto"/>
                <w:spacing w:val="2"/>
                <w:position w:val="8"/>
                <w:sz w:val="20"/>
                <w:highlight w:val="none"/>
              </w:rPr>
              <w:t xml:space="preserve">考</w:t>
            </w:r>
            <w:r>
              <w:rPr>
                <w:rFonts w:hint="eastAsia" w:ascii="宋体" w:hAnsi="宋体" w:eastAsia="宋体" w:cs="宋体"/>
                <w:color w:val="auto"/>
                <w:spacing w:val="1"/>
                <w:position w:val="8"/>
                <w:sz w:val="20"/>
                <w:highlight w:val="none"/>
              </w:rPr>
              <w:t xml:space="preserve">核</w:t>
            </w:r>
            <w:r/>
          </w:p>
          <w:p>
            <w:pPr>
              <w:ind w:left="147"/>
              <w:spacing w:line="232" w:lineRule="auto"/>
              <w:rPr>
                <w:rFonts w:hint="eastAsia" w:ascii="宋体" w:hAnsi="宋体" w:eastAsia="宋体" w:cs="宋体"/>
                <w:color w:val="auto"/>
                <w:sz w:val="20"/>
                <w:highlight w:val="none"/>
              </w:rPr>
            </w:pPr>
            <w:r>
              <w:rPr>
                <w:rFonts w:hint="eastAsia" w:ascii="宋体" w:hAnsi="宋体" w:eastAsia="宋体" w:cs="宋体"/>
                <w:color w:val="auto"/>
                <w:spacing w:val="2"/>
                <w:sz w:val="20"/>
                <w:highlight w:val="none"/>
              </w:rPr>
              <w:t xml:space="preserve">项</w:t>
            </w:r>
            <w:r>
              <w:rPr>
                <w:rFonts w:hint="eastAsia" w:ascii="宋体" w:hAnsi="宋体" w:eastAsia="宋体" w:cs="宋体"/>
                <w:color w:val="auto"/>
                <w:spacing w:val="1"/>
                <w:sz w:val="20"/>
                <w:highlight w:val="none"/>
              </w:rPr>
              <w:t xml:space="preserve">目</w:t>
            </w:r>
            <w:r/>
          </w:p>
        </w:tc>
        <w:tc>
          <w:tcPr>
            <w:tcBorders>
              <w:left w:val="single" w:color="000000" w:sz="4" w:space="0"/>
              <w:right w:val="single" w:color="000000" w:sz="4" w:space="0"/>
            </w:tcBorders>
            <w:tcW w:w="6852" w:type="dxa"/>
            <w:textDirection w:val="lrTb"/>
            <w:noWrap w:val="false"/>
          </w:tcPr>
          <w:p>
            <w:pPr>
              <w:ind w:left="2730"/>
              <w:spacing w:before="217" w:line="231" w:lineRule="auto"/>
              <w:rPr>
                <w:rFonts w:hint="eastAsia" w:ascii="宋体" w:hAnsi="宋体" w:eastAsia="宋体" w:cs="宋体"/>
                <w:color w:val="auto"/>
                <w:sz w:val="20"/>
                <w:highlight w:val="none"/>
              </w:rPr>
            </w:pPr>
            <w:r>
              <w:rPr>
                <w:rFonts w:hint="eastAsia" w:ascii="宋体" w:hAnsi="宋体" w:eastAsia="宋体" w:cs="宋体"/>
                <w:color w:val="auto"/>
                <w:spacing w:val="12"/>
                <w:sz w:val="20"/>
                <w:highlight w:val="none"/>
              </w:rPr>
              <w:t xml:space="preserve">考</w:t>
            </w:r>
            <w:r>
              <w:rPr>
                <w:rFonts w:hint="eastAsia" w:ascii="宋体" w:hAnsi="宋体" w:eastAsia="宋体" w:cs="宋体"/>
                <w:color w:val="auto"/>
                <w:spacing w:val="7"/>
                <w:sz w:val="20"/>
                <w:highlight w:val="none"/>
              </w:rPr>
              <w:t xml:space="preserve">核内容及要求</w:t>
            </w:r>
            <w:r/>
          </w:p>
        </w:tc>
        <w:tc>
          <w:tcPr>
            <w:tcBorders>
              <w:left w:val="single" w:color="000000" w:sz="4" w:space="0"/>
              <w:right w:val="single" w:color="000000" w:sz="4" w:space="0"/>
            </w:tcBorders>
            <w:tcW w:w="704" w:type="dxa"/>
            <w:textDirection w:val="lrTb"/>
            <w:noWrap w:val="false"/>
          </w:tcPr>
          <w:p>
            <w:pPr>
              <w:ind w:left="151"/>
              <w:spacing w:before="216" w:line="232" w:lineRule="auto"/>
              <w:rPr>
                <w:rFonts w:hint="eastAsia" w:ascii="宋体" w:hAnsi="宋体" w:eastAsia="宋体" w:cs="宋体"/>
                <w:color w:val="auto"/>
                <w:sz w:val="20"/>
                <w:highlight w:val="none"/>
              </w:rPr>
            </w:pPr>
            <w:r>
              <w:rPr>
                <w:rFonts w:hint="eastAsia" w:ascii="宋体" w:hAnsi="宋体" w:eastAsia="宋体" w:cs="宋体"/>
                <w:color w:val="auto"/>
                <w:spacing w:val="1"/>
                <w:sz w:val="20"/>
                <w:highlight w:val="none"/>
              </w:rPr>
              <w:t xml:space="preserve">分</w:t>
            </w:r>
            <w:r>
              <w:rPr>
                <w:rFonts w:hint="eastAsia" w:ascii="宋体" w:hAnsi="宋体" w:eastAsia="宋体" w:cs="宋体"/>
                <w:color w:val="auto"/>
                <w:sz w:val="20"/>
                <w:highlight w:val="none"/>
              </w:rPr>
              <w:t xml:space="preserve">值</w:t>
            </w:r>
            <w:r/>
          </w:p>
        </w:tc>
        <w:tc>
          <w:tcPr>
            <w:tcBorders>
              <w:left w:val="single" w:color="000000" w:sz="4" w:space="0"/>
            </w:tcBorders>
            <w:tcW w:w="6052" w:type="dxa"/>
            <w:textDirection w:val="lrTb"/>
            <w:noWrap w:val="false"/>
          </w:tcPr>
          <w:p>
            <w:pPr>
              <w:ind w:left="2460"/>
              <w:spacing w:before="217" w:line="231" w:lineRule="auto"/>
              <w:rPr>
                <w:rFonts w:hint="eastAsia" w:ascii="宋体" w:hAnsi="宋体" w:eastAsia="宋体" w:cs="宋体"/>
                <w:color w:val="auto"/>
                <w:sz w:val="20"/>
                <w:highlight w:val="none"/>
              </w:rPr>
            </w:pPr>
            <w:r>
              <w:rPr>
                <w:rFonts w:hint="eastAsia" w:ascii="宋体" w:hAnsi="宋体" w:eastAsia="宋体" w:cs="宋体"/>
                <w:color w:val="auto"/>
                <w:spacing w:val="7"/>
                <w:sz w:val="20"/>
                <w:highlight w:val="none"/>
              </w:rPr>
              <w:t xml:space="preserve">扣</w:t>
            </w:r>
            <w:r>
              <w:rPr>
                <w:rFonts w:hint="eastAsia" w:ascii="宋体" w:hAnsi="宋体" w:eastAsia="宋体" w:cs="宋体"/>
                <w:color w:val="auto"/>
                <w:spacing w:val="6"/>
                <w:sz w:val="20"/>
                <w:highlight w:val="none"/>
              </w:rPr>
              <w:t xml:space="preserve"> 分 标 准</w:t>
            </w:r>
            <w:r/>
          </w:p>
        </w:tc>
        <w:tc>
          <w:tcPr>
            <w:tcW w:w="784" w:type="dxa"/>
            <w:textDirection w:val="lrTb"/>
            <w:noWrap w:val="false"/>
          </w:tcPr>
          <w:p>
            <w:pPr>
              <w:ind w:left="198"/>
              <w:spacing w:before="217" w:line="232" w:lineRule="auto"/>
              <w:rPr>
                <w:rFonts w:hint="eastAsia" w:ascii="宋体" w:hAnsi="宋体" w:eastAsia="宋体" w:cs="宋体"/>
                <w:color w:val="auto"/>
                <w:sz w:val="20"/>
                <w:highlight w:val="none"/>
              </w:rPr>
            </w:pPr>
            <w:r>
              <w:rPr>
                <w:rFonts w:hint="eastAsia" w:ascii="宋体" w:hAnsi="宋体" w:eastAsia="宋体" w:cs="宋体"/>
                <w:color w:val="auto"/>
                <w:spacing w:val="-1"/>
                <w:sz w:val="20"/>
                <w:highlight w:val="none"/>
              </w:rPr>
              <w:t xml:space="preserve">扣</w:t>
            </w:r>
            <w:r>
              <w:rPr>
                <w:rFonts w:hint="eastAsia" w:ascii="宋体" w:hAnsi="宋体" w:eastAsia="宋体" w:cs="宋体"/>
                <w:color w:val="auto"/>
                <w:sz w:val="20"/>
                <w:highlight w:val="none"/>
              </w:rPr>
              <w:t xml:space="preserve">分</w:t>
            </w:r>
            <w:r/>
          </w:p>
        </w:tc>
      </w:tr>
      <w:tr>
        <w:trPr>
          <w:trHeight w:val="570"/>
        </w:trPr>
        <w:tc>
          <w:tcPr>
            <w:gridSpan w:val="3"/>
            <w:tcBorders>
              <w:left w:val="single" w:color="000000" w:sz="4" w:space="0"/>
              <w:right w:val="single" w:color="000000" w:sz="4" w:space="0"/>
            </w:tcBorders>
            <w:tcW w:w="8192" w:type="dxa"/>
            <w:textDirection w:val="lrTb"/>
            <w:noWrap w:val="false"/>
          </w:tcPr>
          <w:p>
            <w:pPr>
              <w:ind w:left="3690"/>
              <w:spacing w:before="187" w:line="232"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000000" w:sz="4" w:space="0"/>
              <w:right w:val="single" w:color="000000" w:sz="4" w:space="0"/>
            </w:tcBorders>
            <w:tcW w:w="704" w:type="dxa"/>
            <w:textDirection w:val="lrTb"/>
            <w:noWrap w:val="false"/>
          </w:tcPr>
          <w:p>
            <w:pPr>
              <w:ind w:left="140"/>
              <w:spacing w:before="193" w:line="235" w:lineRule="auto"/>
              <w:rPr>
                <w:rFonts w:hint="eastAsia" w:ascii="宋体" w:hAnsi="宋体" w:eastAsia="宋体" w:cs="宋体"/>
                <w:color w:val="auto"/>
                <w:sz w:val="17"/>
                <w:szCs w:val="17"/>
                <w:highlight w:val="none"/>
              </w:rPr>
            </w:pPr>
            <w:r>
              <w:rPr>
                <w:rFonts w:hint="eastAsia" w:ascii="宋体" w:hAnsi="宋体" w:eastAsia="宋体" w:cs="宋体"/>
                <w:color w:val="auto"/>
                <w:spacing w:val="1"/>
                <w:sz w:val="17"/>
                <w:szCs w:val="17"/>
                <w:highlight w:val="none"/>
              </w:rPr>
              <w:t xml:space="preserve">100分</w:t>
            </w:r>
            <w:r/>
          </w:p>
        </w:tc>
        <w:tc>
          <w:tcPr>
            <w:tcBorders>
              <w:left w:val="single" w:color="000000" w:sz="4" w:space="0"/>
            </w:tcBorders>
            <w:tcW w:w="6052" w:type="dxa"/>
            <w:textDirection w:val="lrTb"/>
            <w:noWrap w:val="false"/>
          </w:tcPr>
          <w:p>
            <w:pPr>
              <w:ind w:left="35" w:right="25" w:firstLine="5"/>
              <w:spacing w:before="73" w:line="268" w:lineRule="auto"/>
              <w:rPr>
                <w:rFonts w:hint="eastAsia" w:ascii="宋体" w:hAnsi="宋体" w:eastAsia="宋体" w:cs="宋体"/>
                <w:color w:val="auto"/>
                <w:sz w:val="17"/>
                <w:szCs w:val="17"/>
                <w:highlight w:val="none"/>
              </w:rPr>
            </w:pPr>
            <w:r>
              <w:rPr>
                <w:rFonts w:hint="eastAsia" w:ascii="宋体" w:hAnsi="宋体" w:eastAsia="宋体" w:cs="宋体"/>
                <w:color w:val="auto"/>
                <w:spacing w:val="14"/>
                <w:sz w:val="17"/>
                <w:szCs w:val="17"/>
                <w:highlight w:val="none"/>
              </w:rPr>
              <w:t xml:space="preserve">发包单位</w:t>
            </w:r>
            <w:r>
              <w:rPr>
                <w:rFonts w:hint="eastAsia" w:ascii="宋体" w:hAnsi="宋体" w:eastAsia="宋体" w:cs="宋体"/>
                <w:color w:val="auto"/>
                <w:spacing w:val="7"/>
                <w:sz w:val="17"/>
                <w:szCs w:val="17"/>
                <w:highlight w:val="none"/>
              </w:rPr>
              <w:t xml:space="preserve">考核打分的平均分 </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379"/>
        </w:trPr>
        <w:tc>
          <w:tcPr>
            <w:tcBorders>
              <w:left w:val="single" w:color="000000" w:sz="4" w:space="0"/>
              <w:right w:val="single" w:color="000000" w:sz="4" w:space="0"/>
            </w:tcBorders>
            <w:tcW w:w="572" w:type="dxa"/>
            <w:textDirection w:val="lrTb"/>
            <w:noWrap w:val="false"/>
          </w:tcPr>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53"/>
              <w:spacing w:before="55" w:line="189"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w:t>
            </w:r>
            <w:r/>
          </w:p>
        </w:tc>
        <w:tc>
          <w:tcPr>
            <w:tcBorders>
              <w:left w:val="single" w:color="000000" w:sz="4" w:space="0"/>
              <w:right w:val="single" w:color="000000" w:sz="4" w:space="0"/>
            </w:tcBorders>
            <w:tcW w:w="768" w:type="dxa"/>
            <w:textDirection w:val="lrTb"/>
            <w:noWrap w:val="false"/>
          </w:tcPr>
          <w:p>
            <w:pPr>
              <w:spacing w:line="28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82" w:right="79" w:firstLine="4"/>
              <w:spacing w:before="56" w:line="311" w:lineRule="auto"/>
              <w:rPr>
                <w:rFonts w:hint="eastAsia" w:ascii="宋体" w:hAnsi="宋体" w:eastAsia="宋体" w:cs="宋体"/>
                <w:color w:val="auto"/>
                <w:sz w:val="17"/>
                <w:szCs w:val="17"/>
                <w:highlight w:val="none"/>
              </w:rPr>
            </w:pPr>
            <w:r>
              <w:rPr>
                <w:rFonts w:hint="eastAsia" w:ascii="宋体" w:hAnsi="宋体" w:eastAsia="宋体" w:cs="宋体"/>
                <w:color w:val="auto"/>
                <w:spacing w:val="5"/>
                <w:sz w:val="17"/>
                <w:szCs w:val="17"/>
                <w:highlight w:val="none"/>
              </w:rPr>
              <w:t xml:space="preserve">工</w:t>
            </w:r>
            <w:r>
              <w:rPr>
                <w:rFonts w:hint="eastAsia" w:ascii="宋体" w:hAnsi="宋体" w:eastAsia="宋体" w:cs="宋体"/>
                <w:color w:val="auto"/>
                <w:spacing w:val="4"/>
                <w:sz w:val="17"/>
                <w:szCs w:val="17"/>
                <w:highlight w:val="none"/>
              </w:rPr>
              <w:t xml:space="preserve">作计</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6"/>
                <w:sz w:val="17"/>
                <w:szCs w:val="17"/>
                <w:highlight w:val="none"/>
              </w:rPr>
              <w:t xml:space="preserve">划报送</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6"/>
                <w:sz w:val="17"/>
                <w:szCs w:val="17"/>
                <w:highlight w:val="none"/>
              </w:rPr>
              <w:t xml:space="preserve">和实施</w:t>
            </w:r>
            <w:r/>
          </w:p>
        </w:tc>
        <w:tc>
          <w:tcPr>
            <w:tcBorders>
              <w:left w:val="single" w:color="000000" w:sz="4" w:space="0"/>
              <w:right w:val="single" w:color="000000" w:sz="4" w:space="0"/>
            </w:tcBorders>
            <w:tcW w:w="6852" w:type="dxa"/>
            <w:textDirection w:val="lrTb"/>
            <w:noWrap w:val="false"/>
          </w:tcPr>
          <w:p>
            <w:pPr>
              <w:spacing w:line="42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4" w:right="27" w:firstLine="4"/>
              <w:spacing w:before="56" w:line="315" w:lineRule="auto"/>
              <w:rPr>
                <w:rFonts w:hint="eastAsia" w:ascii="宋体" w:hAnsi="宋体" w:eastAsia="宋体" w:cs="宋体"/>
                <w:color w:val="auto"/>
                <w:sz w:val="17"/>
                <w:szCs w:val="17"/>
                <w:highlight w:val="none"/>
              </w:rPr>
            </w:pPr>
            <w:r>
              <w:rPr>
                <w:rFonts w:hint="eastAsia" w:ascii="宋体" w:hAnsi="宋体" w:eastAsia="宋体" w:cs="宋体"/>
                <w:color w:val="auto"/>
                <w:spacing w:val="18"/>
                <w:sz w:val="17"/>
                <w:szCs w:val="17"/>
                <w:highlight w:val="none"/>
              </w:rPr>
              <w:t xml:space="preserve">每月</w:t>
            </w:r>
            <w:r>
              <w:rPr>
                <w:rFonts w:hint="eastAsia" w:ascii="宋体" w:hAnsi="宋体" w:eastAsia="宋体" w:cs="宋体"/>
                <w:color w:val="auto"/>
                <w:spacing w:val="14"/>
                <w:sz w:val="17"/>
                <w:szCs w:val="17"/>
                <w:highlight w:val="none"/>
              </w:rPr>
              <w:t xml:space="preserve">2</w:t>
            </w:r>
            <w:r>
              <w:rPr>
                <w:rFonts w:hint="eastAsia" w:ascii="宋体" w:hAnsi="宋体" w:eastAsia="宋体" w:cs="宋体"/>
                <w:color w:val="auto"/>
                <w:spacing w:val="9"/>
                <w:sz w:val="17"/>
                <w:szCs w:val="17"/>
                <w:highlight w:val="none"/>
              </w:rPr>
              <w:t xml:space="preserve">8号前按时报送下月养护工作计划，报送工作计划全面、细致。每月28号前按时上报</w:t>
            </w:r>
            <w:r>
              <w:rPr>
                <w:rFonts w:hint="eastAsia" w:ascii="宋体" w:hAnsi="宋体" w:eastAsia="宋体" w:cs="宋体"/>
                <w:color w:val="auto"/>
                <w:spacing w:val="6"/>
                <w:sz w:val="17"/>
                <w:szCs w:val="17"/>
                <w:highlight w:val="none"/>
              </w:rPr>
              <w:t xml:space="preserve">当月养护工作总结，报送工作总结需要全面、细致，包含佐证材料。</w:t>
            </w:r>
            <w:r/>
          </w:p>
        </w:tc>
        <w:tc>
          <w:tcPr>
            <w:tcBorders>
              <w:left w:val="single" w:color="000000" w:sz="4" w:space="0"/>
              <w:right w:val="single" w:color="000000" w:sz="4" w:space="0"/>
            </w:tcBorders>
            <w:tcW w:w="704" w:type="dxa"/>
            <w:textDirection w:val="lrTb"/>
            <w:noWrap w:val="false"/>
          </w:tcPr>
          <w:p>
            <w:pPr>
              <w:spacing w:line="26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10分</w:t>
            </w:r>
            <w:r/>
          </w:p>
        </w:tc>
        <w:tc>
          <w:tcPr>
            <w:tcBorders>
              <w:left w:val="single" w:color="000000" w:sz="4" w:space="0"/>
            </w:tcBorders>
            <w:tcW w:w="6052" w:type="dxa"/>
            <w:textDirection w:val="lrTb"/>
            <w:noWrap w:val="false"/>
          </w:tcPr>
          <w:p>
            <w:pPr>
              <w:ind w:left="35" w:firstLine="1"/>
              <w:spacing w:before="198" w:line="309" w:lineRule="auto"/>
              <w:rPr>
                <w:rFonts w:hint="eastAsia" w:ascii="宋体" w:hAnsi="宋体" w:eastAsia="宋体" w:cs="宋体"/>
                <w:color w:val="auto"/>
                <w:sz w:val="17"/>
                <w:szCs w:val="17"/>
                <w:highlight w:val="none"/>
              </w:rPr>
            </w:pPr>
            <w:r>
              <w:rPr>
                <w:rFonts w:hint="eastAsia" w:ascii="宋体" w:hAnsi="宋体" w:eastAsia="宋体" w:cs="宋体"/>
                <w:color w:val="auto"/>
                <w:spacing w:val="17"/>
                <w:sz w:val="17"/>
                <w:szCs w:val="17"/>
                <w:highlight w:val="none"/>
              </w:rPr>
              <w:t xml:space="preserve">考</w:t>
            </w:r>
            <w:r>
              <w:rPr>
                <w:rFonts w:hint="eastAsia" w:ascii="宋体" w:hAnsi="宋体" w:eastAsia="宋体" w:cs="宋体"/>
                <w:color w:val="auto"/>
                <w:spacing w:val="11"/>
                <w:sz w:val="17"/>
                <w:szCs w:val="17"/>
                <w:highlight w:val="none"/>
              </w:rPr>
              <w:t xml:space="preserve">核人根据报送计划及工作总结内容的情况直接扣分。报送工作计划全面、</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4"/>
                <w:sz w:val="17"/>
                <w:szCs w:val="17"/>
                <w:highlight w:val="none"/>
              </w:rPr>
              <w:t xml:space="preserve">细致的</w:t>
            </w:r>
            <w:r>
              <w:rPr>
                <w:rFonts w:hint="eastAsia" w:ascii="宋体" w:hAnsi="宋体" w:eastAsia="宋体" w:cs="宋体"/>
                <w:color w:val="auto"/>
                <w:spacing w:val="11"/>
                <w:sz w:val="17"/>
                <w:szCs w:val="17"/>
                <w:highlight w:val="none"/>
              </w:rPr>
              <w:t xml:space="preserve">不</w:t>
            </w:r>
            <w:r>
              <w:rPr>
                <w:rFonts w:hint="eastAsia" w:ascii="宋体" w:hAnsi="宋体" w:eastAsia="宋体" w:cs="宋体"/>
                <w:color w:val="auto"/>
                <w:spacing w:val="7"/>
                <w:sz w:val="17"/>
                <w:szCs w:val="17"/>
                <w:highlight w:val="none"/>
              </w:rPr>
              <w:t xml:space="preserve">扣分；工作内容上报不及时、不全面、敷衍了事的，扣1-3分，无养</w:t>
            </w:r>
            <w:r>
              <w:rPr>
                <w:rFonts w:hint="eastAsia" w:ascii="宋体" w:hAnsi="宋体" w:eastAsia="宋体" w:cs="宋体"/>
                <w:color w:val="auto"/>
                <w:spacing w:val="8"/>
                <w:sz w:val="17"/>
                <w:szCs w:val="17"/>
                <w:highlight w:val="none"/>
              </w:rPr>
              <w:t xml:space="preserve">护</w:t>
            </w:r>
            <w:r>
              <w:rPr>
                <w:rFonts w:hint="eastAsia" w:ascii="宋体" w:hAnsi="宋体" w:eastAsia="宋体" w:cs="宋体"/>
                <w:color w:val="auto"/>
                <w:spacing w:val="4"/>
                <w:sz w:val="17"/>
                <w:szCs w:val="17"/>
                <w:highlight w:val="none"/>
              </w:rPr>
              <w:t xml:space="preserve">计划的扣3分。报送养护工作总结细致、全面，佐证资料清晰明了的不扣分；</w:t>
            </w:r>
            <w:r>
              <w:rPr>
                <w:rFonts w:hint="eastAsia" w:ascii="宋体" w:hAnsi="宋体" w:eastAsia="宋体" w:cs="宋体"/>
                <w:color w:val="auto"/>
                <w:spacing w:val="16"/>
                <w:sz w:val="17"/>
                <w:szCs w:val="17"/>
                <w:highlight w:val="none"/>
              </w:rPr>
              <w:t xml:space="preserve">养</w:t>
            </w:r>
            <w:r>
              <w:rPr>
                <w:rFonts w:hint="eastAsia" w:ascii="宋体" w:hAnsi="宋体" w:eastAsia="宋体" w:cs="宋体"/>
                <w:color w:val="auto"/>
                <w:spacing w:val="9"/>
                <w:sz w:val="17"/>
                <w:szCs w:val="17"/>
                <w:highlight w:val="none"/>
              </w:rPr>
              <w:t xml:space="preserve">护</w:t>
            </w:r>
            <w:r>
              <w:rPr>
                <w:rFonts w:hint="eastAsia" w:ascii="宋体" w:hAnsi="宋体" w:eastAsia="宋体" w:cs="宋体"/>
                <w:color w:val="auto"/>
                <w:spacing w:val="8"/>
                <w:sz w:val="17"/>
                <w:szCs w:val="17"/>
                <w:highlight w:val="none"/>
              </w:rPr>
              <w:t xml:space="preserve">工作总结不全面、敷衍了事的，扣1-3分；无养护工作总结的扣5分。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005"/>
        </w:trPr>
        <w:tc>
          <w:tcPr>
            <w:tcBorders>
              <w:left w:val="single" w:color="000000" w:sz="4" w:space="0"/>
              <w:right w:val="single" w:color="000000" w:sz="4" w:space="0"/>
            </w:tcBorders>
            <w:tcW w:w="572" w:type="dxa"/>
            <w:textDirection w:val="lrTb"/>
            <w:noWrap w:val="false"/>
          </w:tcPr>
          <w:p>
            <w:pPr>
              <w:spacing w:line="40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2"/>
              <w:spacing w:before="55" w:line="188"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2</w:t>
            </w:r>
            <w:r/>
          </w:p>
        </w:tc>
        <w:tc>
          <w:tcPr>
            <w:tcBorders>
              <w:left w:val="single" w:color="000000" w:sz="4" w:space="0"/>
              <w:right w:val="single" w:color="000000" w:sz="4" w:space="0"/>
            </w:tcBorders>
            <w:tcW w:w="768" w:type="dxa"/>
            <w:textDirection w:val="lrTb"/>
            <w:noWrap w:val="false"/>
          </w:tcPr>
          <w:p>
            <w:pPr>
              <w:ind w:right="79"/>
              <w:spacing w:before="291" w:line="318" w:lineRule="auto"/>
              <w:rPr>
                <w:rFonts w:hint="eastAsia" w:ascii="宋体" w:hAnsi="宋体" w:eastAsia="宋体" w:cs="宋体"/>
                <w:color w:val="auto"/>
                <w:sz w:val="17"/>
                <w:szCs w:val="17"/>
                <w:highlight w:val="none"/>
              </w:rPr>
            </w:pPr>
            <w:r>
              <w:rPr>
                <w:rFonts w:hint="eastAsia" w:ascii="宋体" w:hAnsi="宋体" w:eastAsia="宋体" w:cs="宋体"/>
                <w:color w:val="auto"/>
                <w:spacing w:val="6"/>
                <w:sz w:val="17"/>
                <w:szCs w:val="17"/>
                <w:highlight w:val="none"/>
              </w:rPr>
              <w:t xml:space="preserve">整体观</w:t>
            </w:r>
            <w:r>
              <w:rPr>
                <w:rFonts w:hint="eastAsia" w:ascii="宋体" w:hAnsi="宋体" w:eastAsia="宋体" w:cs="宋体"/>
                <w:color w:val="auto"/>
                <w:sz w:val="17"/>
                <w:szCs w:val="17"/>
                <w:highlight w:val="none"/>
              </w:rPr>
              <w:t xml:space="preserve"> 感</w:t>
            </w:r>
            <w:r/>
          </w:p>
        </w:tc>
        <w:tc>
          <w:tcPr>
            <w:tcBorders>
              <w:left w:val="single" w:color="000000" w:sz="4" w:space="0"/>
              <w:right w:val="single" w:color="000000" w:sz="4" w:space="0"/>
            </w:tcBorders>
            <w:tcW w:w="6852" w:type="dxa"/>
            <w:textDirection w:val="lrTb"/>
            <w:noWrap w:val="false"/>
          </w:tcPr>
          <w:p>
            <w:pPr>
              <w:ind w:left="33" w:right="27"/>
              <w:spacing w:before="291" w:line="316" w:lineRule="auto"/>
              <w:rPr>
                <w:rFonts w:hint="eastAsia" w:ascii="宋体" w:hAnsi="宋体" w:eastAsia="宋体" w:cs="宋体"/>
                <w:color w:val="auto"/>
                <w:sz w:val="17"/>
                <w:szCs w:val="17"/>
                <w:highlight w:val="none"/>
              </w:rPr>
            </w:pPr>
            <w:r>
              <w:rPr>
                <w:rFonts w:hint="eastAsia" w:ascii="宋体" w:hAnsi="宋体" w:eastAsia="宋体" w:cs="宋体"/>
                <w:color w:val="auto"/>
                <w:spacing w:val="18"/>
                <w:sz w:val="17"/>
                <w:szCs w:val="17"/>
                <w:highlight w:val="none"/>
              </w:rPr>
              <w:t xml:space="preserve">考</w:t>
            </w:r>
            <w:r>
              <w:rPr>
                <w:rFonts w:hint="eastAsia" w:ascii="宋体" w:hAnsi="宋体" w:eastAsia="宋体" w:cs="宋体"/>
                <w:color w:val="auto"/>
                <w:spacing w:val="10"/>
                <w:sz w:val="17"/>
                <w:szCs w:val="17"/>
                <w:highlight w:val="none"/>
              </w:rPr>
              <w:t xml:space="preserve">核人对养护范围内景观的整体观感，从景观效果、绿地环境、植物生长状态等方面进</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4"/>
                <w:sz w:val="17"/>
                <w:szCs w:val="17"/>
                <w:highlight w:val="none"/>
              </w:rPr>
              <w:t xml:space="preserve">行评析。</w:t>
            </w:r>
            <w:r/>
          </w:p>
        </w:tc>
        <w:tc>
          <w:tcPr>
            <w:tcBorders>
              <w:left w:val="single" w:color="000000" w:sz="4" w:space="0"/>
              <w:right w:val="single" w:color="000000" w:sz="4" w:space="0"/>
            </w:tcBorders>
            <w:tcW w:w="704" w:type="dxa"/>
            <w:textDirection w:val="lrTb"/>
            <w:noWrap w:val="false"/>
          </w:tcPr>
          <w:p>
            <w:pPr>
              <w:spacing w:line="3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19"/>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pacing w:val="3"/>
                <w:sz w:val="17"/>
                <w:szCs w:val="17"/>
                <w:highlight w:val="none"/>
              </w:rPr>
              <w:t xml:space="preserve">5分</w:t>
            </w:r>
            <w:r/>
          </w:p>
        </w:tc>
        <w:tc>
          <w:tcPr>
            <w:tcBorders>
              <w:left w:val="single" w:color="000000" w:sz="4" w:space="0"/>
            </w:tcBorders>
            <w:tcW w:w="6052" w:type="dxa"/>
            <w:textDirection w:val="lrTb"/>
            <w:noWrap w:val="false"/>
          </w:tcPr>
          <w:p>
            <w:pPr>
              <w:ind w:left="33" w:firstLine="2"/>
              <w:spacing w:before="151" w:line="309"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考核人根</w:t>
            </w:r>
            <w:r>
              <w:rPr>
                <w:rFonts w:hint="eastAsia" w:ascii="宋体" w:hAnsi="宋体" w:eastAsia="宋体" w:cs="宋体"/>
                <w:color w:val="auto"/>
                <w:spacing w:val="6"/>
                <w:sz w:val="17"/>
                <w:szCs w:val="17"/>
                <w:highlight w:val="none"/>
              </w:rPr>
              <w:t xml:space="preserve">据绿地养护现场情况，进行直接扣分。整体景观效果良好的不扣分；</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4"/>
                <w:sz w:val="17"/>
                <w:szCs w:val="17"/>
                <w:highlight w:val="none"/>
              </w:rPr>
              <w:t xml:space="preserve">整体景</w:t>
            </w:r>
            <w:r>
              <w:rPr>
                <w:rFonts w:hint="eastAsia" w:ascii="宋体" w:hAnsi="宋体" w:eastAsia="宋体" w:cs="宋体"/>
                <w:color w:val="auto"/>
                <w:spacing w:val="10"/>
                <w:sz w:val="17"/>
                <w:szCs w:val="17"/>
                <w:highlight w:val="none"/>
              </w:rPr>
              <w:t xml:space="preserve">观</w:t>
            </w:r>
            <w:r>
              <w:rPr>
                <w:rFonts w:hint="eastAsia" w:ascii="宋体" w:hAnsi="宋体" w:eastAsia="宋体" w:cs="宋体"/>
                <w:color w:val="auto"/>
                <w:spacing w:val="7"/>
                <w:sz w:val="17"/>
                <w:szCs w:val="17"/>
                <w:highlight w:val="none"/>
              </w:rPr>
              <w:t xml:space="preserve">效果不佳的，扣1分；整体观感极差，垃圾较多，杂草丛生的，扣</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2"/>
                <w:sz w:val="17"/>
                <w:szCs w:val="17"/>
                <w:highlight w:val="none"/>
              </w:rPr>
              <w:t xml:space="preserve">2分</w:t>
            </w:r>
            <w:r>
              <w:rPr>
                <w:rFonts w:hint="eastAsia" w:ascii="宋体" w:hAnsi="宋体" w:eastAsia="宋体" w:cs="宋体"/>
                <w:color w:val="auto"/>
                <w:spacing w:val="1"/>
                <w:sz w:val="17"/>
                <w:szCs w:val="17"/>
                <w:highlight w:val="none"/>
              </w:rPr>
              <w:t xml:space="preserve">。</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899"/>
        </w:trPr>
        <w:tc>
          <w:tcPr>
            <w:tcBorders>
              <w:left w:val="single" w:color="000000" w:sz="4" w:space="0"/>
              <w:right w:val="single" w:color="000000" w:sz="4" w:space="0"/>
            </w:tcBorders>
            <w:tcW w:w="572" w:type="dxa"/>
            <w:textDirection w:val="lrTb"/>
            <w:noWrap w:val="false"/>
          </w:tcPr>
          <w:p>
            <w:pPr>
              <w:spacing w:line="35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4"/>
              <w:spacing w:before="56" w:line="188"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3</w:t>
            </w:r>
            <w:r/>
          </w:p>
        </w:tc>
        <w:tc>
          <w:tcPr>
            <w:tcBorders>
              <w:left w:val="single" w:color="000000" w:sz="4" w:space="0"/>
              <w:right w:val="single" w:color="000000" w:sz="4" w:space="0"/>
            </w:tcBorders>
            <w:tcW w:w="768" w:type="dxa"/>
            <w:textDirection w:val="lrTb"/>
            <w:noWrap w:val="false"/>
          </w:tcPr>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73"/>
              <w:spacing w:before="55" w:line="233" w:lineRule="auto"/>
              <w:rPr>
                <w:rFonts w:hint="eastAsia" w:ascii="宋体" w:hAnsi="宋体" w:eastAsia="宋体" w:cs="宋体"/>
                <w:color w:val="auto"/>
                <w:sz w:val="17"/>
                <w:szCs w:val="17"/>
                <w:highlight w:val="none"/>
              </w:rPr>
            </w:pPr>
            <w:r>
              <w:rPr>
                <w:rFonts w:hint="eastAsia" w:ascii="宋体" w:hAnsi="宋体" w:eastAsia="宋体" w:cs="宋体"/>
                <w:color w:val="auto"/>
                <w:spacing w:val="3"/>
                <w:sz w:val="17"/>
                <w:szCs w:val="17"/>
                <w:highlight w:val="none"/>
              </w:rPr>
              <w:t xml:space="preserve">乔</w:t>
            </w:r>
            <w:r>
              <w:rPr>
                <w:rFonts w:hint="eastAsia" w:ascii="宋体" w:hAnsi="宋体" w:eastAsia="宋体" w:cs="宋体"/>
                <w:color w:val="auto"/>
                <w:spacing w:val="2"/>
                <w:sz w:val="17"/>
                <w:szCs w:val="17"/>
                <w:highlight w:val="none"/>
              </w:rPr>
              <w:t xml:space="preserve">木</w:t>
            </w:r>
            <w:r/>
          </w:p>
        </w:tc>
        <w:tc>
          <w:tcPr>
            <w:tcBorders>
              <w:left w:val="single" w:color="000000" w:sz="4" w:space="0"/>
              <w:right w:val="single" w:color="000000" w:sz="4" w:space="0"/>
            </w:tcBorders>
            <w:tcW w:w="6852" w:type="dxa"/>
            <w:textDirection w:val="lrTb"/>
            <w:noWrap w:val="false"/>
          </w:tcPr>
          <w:p>
            <w:pPr>
              <w:ind w:left="33" w:right="25" w:firstLine="2"/>
              <w:spacing w:before="239" w:line="315" w:lineRule="auto"/>
              <w:rPr>
                <w:rFonts w:hint="eastAsia" w:ascii="宋体" w:hAnsi="宋体" w:eastAsia="宋体" w:cs="宋体"/>
                <w:color w:val="auto"/>
                <w:sz w:val="17"/>
                <w:szCs w:val="17"/>
                <w:highlight w:val="none"/>
              </w:rPr>
            </w:pPr>
            <w:r>
              <w:rPr>
                <w:rFonts w:hint="eastAsia" w:ascii="宋体" w:hAnsi="宋体" w:eastAsia="宋体" w:cs="宋体"/>
                <w:color w:val="auto"/>
                <w:spacing w:val="19"/>
                <w:sz w:val="17"/>
                <w:szCs w:val="17"/>
                <w:highlight w:val="none"/>
              </w:rPr>
              <w:t xml:space="preserve">乔</w:t>
            </w:r>
            <w:r>
              <w:rPr>
                <w:rFonts w:hint="eastAsia" w:ascii="宋体" w:hAnsi="宋体" w:eastAsia="宋体" w:cs="宋体"/>
                <w:color w:val="auto"/>
                <w:spacing w:val="10"/>
                <w:sz w:val="17"/>
                <w:szCs w:val="17"/>
                <w:highlight w:val="none"/>
              </w:rPr>
              <w:t xml:space="preserve">木：要及时剪除乔木主杆的萌蘖枝、下垂枝、断枝、枯死枝、直立枝、平行枝、干扰</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3"/>
                <w:sz w:val="17"/>
                <w:szCs w:val="17"/>
                <w:highlight w:val="none"/>
              </w:rPr>
              <w:t xml:space="preserve">枝</w:t>
            </w:r>
            <w:r>
              <w:rPr>
                <w:rFonts w:hint="eastAsia" w:ascii="宋体" w:hAnsi="宋体" w:eastAsia="宋体" w:cs="宋体"/>
                <w:color w:val="auto"/>
                <w:spacing w:val="8"/>
                <w:sz w:val="17"/>
                <w:szCs w:val="17"/>
                <w:highlight w:val="none"/>
              </w:rPr>
              <w:t xml:space="preserve">。要保持树冠完整美观通透。</w:t>
            </w:r>
            <w:r/>
          </w:p>
        </w:tc>
        <w:tc>
          <w:tcPr>
            <w:tcBorders>
              <w:left w:val="single" w:color="000000" w:sz="4" w:space="0"/>
              <w:right w:val="single" w:color="000000" w:sz="4" w:space="0"/>
            </w:tcBorders>
            <w:tcW w:w="704" w:type="dxa"/>
            <w:textDirection w:val="lrTb"/>
            <w:noWrap w:val="false"/>
          </w:tcPr>
          <w:p>
            <w:pPr>
              <w:spacing w:line="30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12分</w:t>
            </w:r>
            <w:r/>
          </w:p>
        </w:tc>
        <w:tc>
          <w:tcPr>
            <w:tcBorders>
              <w:left w:val="single" w:color="000000" w:sz="4" w:space="0"/>
            </w:tcBorders>
            <w:tcW w:w="6052" w:type="dxa"/>
            <w:textDirection w:val="lrTb"/>
            <w:noWrap w:val="false"/>
          </w:tcPr>
          <w:p>
            <w:pPr>
              <w:spacing w:line="32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8"/>
              <w:spacing w:before="56" w:line="231" w:lineRule="auto"/>
              <w:rPr>
                <w:rFonts w:hint="eastAsia" w:ascii="宋体" w:hAnsi="宋体" w:eastAsia="宋体" w:cs="宋体"/>
                <w:color w:val="auto"/>
                <w:sz w:val="17"/>
                <w:szCs w:val="17"/>
                <w:highlight w:val="none"/>
              </w:rPr>
            </w:pPr>
            <w:r>
              <w:rPr>
                <w:rFonts w:hint="eastAsia" w:ascii="宋体" w:hAnsi="宋体" w:eastAsia="宋体" w:cs="宋体"/>
                <w:color w:val="auto"/>
                <w:spacing w:val="9"/>
                <w:sz w:val="17"/>
                <w:szCs w:val="17"/>
                <w:highlight w:val="none"/>
              </w:rPr>
              <w:t xml:space="preserve">乔木主杆存在萌蘖枝、下垂枝、断枝、枯死枝等未修剪的，每处扣1分</w:t>
            </w:r>
            <w:r>
              <w:rPr>
                <w:rFonts w:hint="eastAsia" w:ascii="宋体" w:hAnsi="宋体" w:eastAsia="宋体" w:cs="宋体"/>
                <w:color w:val="auto"/>
                <w:spacing w:val="4"/>
                <w:sz w:val="17"/>
                <w:szCs w:val="17"/>
                <w:highlight w:val="none"/>
              </w:rPr>
              <w:t xml:space="preserve">。</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129"/>
        </w:trPr>
        <w:tc>
          <w:tcPr>
            <w:tcBorders>
              <w:right w:val="single" w:color="000000" w:sz="4" w:space="0"/>
            </w:tcBorders>
            <w:tcW w:w="572" w:type="dxa"/>
            <w:textDirection w:val="lrTb"/>
            <w:noWrap w:val="false"/>
          </w:tcPr>
          <w:p>
            <w:pPr>
              <w:spacing w:line="4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2"/>
              <w:spacing w:before="55" w:line="188"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4</w:t>
            </w:r>
            <w:r/>
          </w:p>
        </w:tc>
        <w:tc>
          <w:tcPr>
            <w:tcBorders>
              <w:left w:val="single" w:color="000000" w:sz="4" w:space="0"/>
              <w:right w:val="single" w:color="000000" w:sz="4" w:space="0"/>
            </w:tcBorders>
            <w:tcW w:w="768" w:type="dxa"/>
            <w:textDirection w:val="lrTb"/>
            <w:noWrap w:val="false"/>
          </w:tcPr>
          <w:p>
            <w:pPr>
              <w:spacing w:line="29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72" w:right="79" w:hanging="88"/>
              <w:spacing w:before="56" w:line="317" w:lineRule="auto"/>
              <w:rPr>
                <w:rFonts w:hint="eastAsia" w:ascii="宋体" w:hAnsi="宋体" w:eastAsia="宋体" w:cs="宋体"/>
                <w:color w:val="auto"/>
                <w:sz w:val="17"/>
                <w:szCs w:val="17"/>
                <w:highlight w:val="none"/>
              </w:rPr>
            </w:pPr>
            <w:r>
              <w:rPr>
                <w:rFonts w:hint="eastAsia" w:ascii="宋体" w:hAnsi="宋体" w:eastAsia="宋体" w:cs="宋体"/>
                <w:color w:val="auto"/>
                <w:spacing w:val="5"/>
                <w:sz w:val="17"/>
                <w:szCs w:val="17"/>
                <w:highlight w:val="none"/>
              </w:rPr>
              <w:t xml:space="preserve">灌木及</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3"/>
                <w:sz w:val="17"/>
                <w:szCs w:val="17"/>
                <w:highlight w:val="none"/>
              </w:rPr>
              <w:t xml:space="preserve">绿</w:t>
            </w:r>
            <w:r>
              <w:rPr>
                <w:rFonts w:hint="eastAsia" w:ascii="宋体" w:hAnsi="宋体" w:eastAsia="宋体" w:cs="宋体"/>
                <w:color w:val="auto"/>
                <w:spacing w:val="2"/>
                <w:sz w:val="17"/>
                <w:szCs w:val="17"/>
                <w:highlight w:val="none"/>
              </w:rPr>
              <w:t xml:space="preserve">篱</w:t>
            </w:r>
            <w:r/>
          </w:p>
        </w:tc>
        <w:tc>
          <w:tcPr>
            <w:tcBorders>
              <w:left w:val="single" w:color="000000" w:sz="4" w:space="0"/>
              <w:right w:val="single" w:color="000000" w:sz="4" w:space="0"/>
            </w:tcBorders>
            <w:tcW w:w="6852" w:type="dxa"/>
            <w:textDirection w:val="lrTb"/>
            <w:noWrap w:val="false"/>
          </w:tcPr>
          <w:p>
            <w:pPr>
              <w:ind w:left="31" w:firstLine="3"/>
              <w:spacing w:before="74" w:line="305"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灌</w:t>
            </w:r>
            <w:r>
              <w:rPr>
                <w:rFonts w:hint="eastAsia" w:ascii="宋体" w:hAnsi="宋体" w:eastAsia="宋体" w:cs="宋体"/>
                <w:color w:val="auto"/>
                <w:spacing w:val="10"/>
                <w:sz w:val="17"/>
                <w:szCs w:val="17"/>
                <w:highlight w:val="none"/>
              </w:rPr>
              <w:t xml:space="preserve">木</w:t>
            </w:r>
            <w:r>
              <w:rPr>
                <w:rFonts w:hint="eastAsia" w:ascii="宋体" w:hAnsi="宋体" w:eastAsia="宋体" w:cs="宋体"/>
                <w:color w:val="auto"/>
                <w:spacing w:val="6"/>
                <w:sz w:val="17"/>
                <w:szCs w:val="17"/>
                <w:highlight w:val="none"/>
              </w:rPr>
              <w:t xml:space="preserve">：要及时剪除萌蘖枝、下垂枝、断枝、枯死枝、直立枝、平行枝、干扰枝、徒长枝，</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7"/>
                <w:sz w:val="17"/>
                <w:szCs w:val="17"/>
                <w:highlight w:val="none"/>
              </w:rPr>
              <w:t xml:space="preserve">修剪要规范美观</w:t>
            </w:r>
            <w:r>
              <w:rPr>
                <w:rFonts w:hint="eastAsia" w:ascii="宋体" w:hAnsi="宋体" w:eastAsia="宋体" w:cs="宋体"/>
                <w:color w:val="auto"/>
                <w:spacing w:val="5"/>
                <w:sz w:val="17"/>
                <w:szCs w:val="17"/>
                <w:highlight w:val="none"/>
              </w:rPr>
              <w:t xml:space="preserve">。</w:t>
            </w:r>
            <w:r/>
          </w:p>
          <w:p>
            <w:pPr>
              <w:ind w:left="33" w:firstLine="1"/>
              <w:spacing w:before="1" w:line="266"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绿</w:t>
            </w:r>
            <w:r>
              <w:rPr>
                <w:rFonts w:hint="eastAsia" w:ascii="宋体" w:hAnsi="宋体" w:eastAsia="宋体" w:cs="宋体"/>
                <w:color w:val="auto"/>
                <w:spacing w:val="10"/>
                <w:sz w:val="17"/>
                <w:szCs w:val="17"/>
                <w:highlight w:val="none"/>
              </w:rPr>
              <w:t xml:space="preserve">篱</w:t>
            </w:r>
            <w:r>
              <w:rPr>
                <w:rFonts w:hint="eastAsia" w:ascii="宋体" w:hAnsi="宋体" w:eastAsia="宋体" w:cs="宋体"/>
                <w:color w:val="auto"/>
                <w:spacing w:val="6"/>
                <w:sz w:val="17"/>
                <w:szCs w:val="17"/>
                <w:highlight w:val="none"/>
              </w:rPr>
              <w:t xml:space="preserve">：修剪必须保持修剪面平整饱满，直线处正直，曲线处弧度圆润，球冠植物要圆滑，</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8"/>
                <w:sz w:val="17"/>
                <w:szCs w:val="17"/>
                <w:highlight w:val="none"/>
              </w:rPr>
              <w:t xml:space="preserve">相邻不同品种绿篱或模纹(色块)之间分界清晰</w:t>
            </w:r>
            <w:r>
              <w:rPr>
                <w:rFonts w:hint="eastAsia" w:ascii="宋体" w:hAnsi="宋体" w:eastAsia="宋体" w:cs="宋体"/>
                <w:color w:val="auto"/>
                <w:spacing w:val="7"/>
                <w:sz w:val="17"/>
                <w:szCs w:val="17"/>
                <w:highlight w:val="none"/>
              </w:rPr>
              <w:t xml:space="preserve">。</w:t>
            </w:r>
            <w:r/>
          </w:p>
        </w:tc>
        <w:tc>
          <w:tcPr>
            <w:tcBorders>
              <w:left w:val="single" w:color="000000" w:sz="4" w:space="0"/>
              <w:right w:val="single" w:color="000000" w:sz="4" w:space="0"/>
            </w:tcBorders>
            <w:tcW w:w="704" w:type="dxa"/>
            <w:textDirection w:val="lrTb"/>
            <w:noWrap w:val="false"/>
          </w:tcPr>
          <w:p>
            <w:pPr>
              <w:spacing w:line="41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12分</w:t>
            </w:r>
            <w:r/>
          </w:p>
        </w:tc>
        <w:tc>
          <w:tcPr>
            <w:tcBorders>
              <w:left w:val="single" w:color="000000" w:sz="4" w:space="0"/>
            </w:tcBorders>
            <w:tcW w:w="6052" w:type="dxa"/>
            <w:textDirection w:val="lrTb"/>
            <w:noWrap w:val="false"/>
          </w:tcPr>
          <w:p>
            <w:pPr>
              <w:spacing w:line="29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8" w:right="33"/>
              <w:spacing w:before="55" w:line="316" w:lineRule="auto"/>
              <w:rPr>
                <w:rFonts w:hint="eastAsia" w:ascii="宋体" w:hAnsi="宋体" w:eastAsia="宋体" w:cs="宋体"/>
                <w:color w:val="auto"/>
                <w:sz w:val="17"/>
                <w:szCs w:val="17"/>
                <w:highlight w:val="none"/>
              </w:rPr>
            </w:pPr>
            <w:r>
              <w:rPr>
                <w:rFonts w:hint="eastAsia" w:ascii="宋体" w:hAnsi="宋体" w:eastAsia="宋体" w:cs="宋体"/>
                <w:color w:val="auto"/>
                <w:spacing w:val="8"/>
                <w:sz w:val="17"/>
                <w:szCs w:val="17"/>
                <w:highlight w:val="none"/>
              </w:rPr>
              <w:t xml:space="preserve">灌木存在萌蘖枝、下垂枝、断枝、枯死枝等未能及时修剪的，每处扣1分</w:t>
            </w:r>
            <w:r>
              <w:rPr>
                <w:rFonts w:hint="eastAsia" w:ascii="宋体" w:hAnsi="宋体" w:eastAsia="宋体" w:cs="宋体"/>
                <w:color w:val="auto"/>
                <w:spacing w:val="5"/>
                <w:sz w:val="17"/>
                <w:szCs w:val="17"/>
                <w:highlight w:val="none"/>
              </w:rPr>
              <w:t xml:space="preserve">；</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6"/>
                <w:sz w:val="17"/>
                <w:szCs w:val="17"/>
                <w:highlight w:val="none"/>
              </w:rPr>
              <w:t xml:space="preserve">绿篱</w:t>
            </w:r>
            <w:r>
              <w:rPr>
                <w:rFonts w:hint="eastAsia" w:ascii="宋体" w:hAnsi="宋体" w:eastAsia="宋体" w:cs="宋体"/>
                <w:color w:val="auto"/>
                <w:spacing w:val="11"/>
                <w:sz w:val="17"/>
                <w:szCs w:val="17"/>
                <w:highlight w:val="none"/>
              </w:rPr>
              <w:t xml:space="preserve">修</w:t>
            </w:r>
            <w:r>
              <w:rPr>
                <w:rFonts w:hint="eastAsia" w:ascii="宋体" w:hAnsi="宋体" w:eastAsia="宋体" w:cs="宋体"/>
                <w:color w:val="auto"/>
                <w:spacing w:val="8"/>
                <w:sz w:val="17"/>
                <w:szCs w:val="17"/>
                <w:highlight w:val="none"/>
              </w:rPr>
              <w:t xml:space="preserve">剪不平整、弧度不圆润，分界线不清的，每处扣1分。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689"/>
        </w:trPr>
        <w:tc>
          <w:tcPr>
            <w:tcBorders>
              <w:right w:val="single" w:color="000000" w:sz="4" w:space="0"/>
            </w:tcBorders>
            <w:tcW w:w="572" w:type="dxa"/>
            <w:textDirection w:val="lrTb"/>
            <w:noWrap w:val="false"/>
          </w:tcPr>
          <w:p>
            <w:pPr>
              <w:spacing w:line="3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6"/>
              <w:spacing w:before="56" w:line="186"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5</w:t>
            </w:r>
            <w:r/>
          </w:p>
        </w:tc>
        <w:tc>
          <w:tcPr>
            <w:tcBorders>
              <w:left w:val="single" w:color="000000" w:sz="4" w:space="0"/>
              <w:right w:val="single" w:color="000000" w:sz="4" w:space="0"/>
            </w:tcBorders>
            <w:tcW w:w="768" w:type="dxa"/>
            <w:textDirection w:val="lrTb"/>
            <w:noWrap w:val="false"/>
          </w:tcPr>
          <w:p>
            <w:pPr>
              <w:ind w:left="170"/>
              <w:jc w:val="center"/>
              <w:spacing w:before="63" w:line="232" w:lineRule="auto"/>
              <w:rPr>
                <w:rFonts w:hint="eastAsia" w:ascii="宋体" w:hAnsi="宋体" w:eastAsia="宋体" w:cs="宋体"/>
                <w:color w:val="auto"/>
                <w:spacing w:val="5"/>
                <w:sz w:val="17"/>
                <w:szCs w:val="17"/>
                <w:highlight w:val="none"/>
              </w:rPr>
            </w:pPr>
            <w:r>
              <w:rPr>
                <w:rFonts w:hint="eastAsia" w:ascii="宋体" w:hAnsi="宋体" w:eastAsia="宋体" w:cs="宋体"/>
                <w:color w:val="auto"/>
                <w:spacing w:val="5"/>
                <w:sz w:val="17"/>
                <w:szCs w:val="17"/>
                <w:highlight w:val="none"/>
              </w:rPr>
            </w:r>
            <w:r/>
          </w:p>
          <w:p>
            <w:pPr>
              <w:ind w:left="170"/>
              <w:jc w:val="center"/>
              <w:spacing w:before="63" w:line="232" w:lineRule="auto"/>
              <w:rPr>
                <w:rFonts w:hint="eastAsia" w:ascii="宋体" w:hAnsi="宋体" w:eastAsia="宋体" w:cs="宋体"/>
                <w:color w:val="auto"/>
                <w:sz w:val="17"/>
                <w:szCs w:val="17"/>
                <w:highlight w:val="none"/>
              </w:rPr>
            </w:pPr>
            <w:r>
              <w:rPr>
                <w:rFonts w:hint="eastAsia" w:ascii="宋体" w:hAnsi="宋体" w:eastAsia="宋体" w:cs="宋体"/>
                <w:color w:val="auto"/>
                <w:spacing w:val="5"/>
                <w:sz w:val="17"/>
                <w:szCs w:val="17"/>
                <w:highlight w:val="none"/>
              </w:rPr>
              <w:t xml:space="preserve">花卉</w:t>
            </w:r>
            <w:r/>
          </w:p>
        </w:tc>
        <w:tc>
          <w:tcPr>
            <w:tcBorders>
              <w:left w:val="single" w:color="000000" w:sz="4" w:space="0"/>
              <w:right w:val="single" w:color="000000" w:sz="4" w:space="0"/>
            </w:tcBorders>
            <w:tcW w:w="6852" w:type="dxa"/>
            <w:textDirection w:val="lrTb"/>
            <w:noWrap w:val="false"/>
          </w:tcPr>
          <w:p>
            <w:pPr>
              <w:ind w:left="33"/>
              <w:spacing w:before="88" w:line="231" w:lineRule="auto"/>
              <w:rPr>
                <w:rFonts w:hint="eastAsia" w:ascii="宋体" w:hAnsi="宋体" w:eastAsia="宋体" w:cs="宋体"/>
                <w:color w:val="auto"/>
                <w:sz w:val="17"/>
                <w:szCs w:val="17"/>
                <w:highlight w:val="none"/>
              </w:rPr>
            </w:pPr>
            <w:r>
              <w:rPr>
                <w:rFonts w:hint="eastAsia" w:ascii="宋体" w:hAnsi="宋体" w:eastAsia="宋体" w:cs="宋体"/>
                <w:color w:val="auto"/>
                <w:spacing w:val="9"/>
                <w:sz w:val="17"/>
                <w:szCs w:val="17"/>
                <w:highlight w:val="none"/>
              </w:rPr>
              <w:t xml:space="preserve">有精美的图案和色彩配置，植株健壮，无杂草；</w:t>
            </w:r>
            <w:r>
              <w:rPr>
                <w:rFonts w:hint="eastAsia" w:ascii="宋体" w:hAnsi="宋体" w:eastAsia="宋体" w:cs="宋体"/>
                <w:color w:val="auto"/>
                <w:spacing w:val="8"/>
                <w:sz w:val="17"/>
                <w:szCs w:val="17"/>
                <w:highlight w:val="none"/>
              </w:rPr>
              <w:t xml:space="preserve">原设计意图体现充分，高低错落有序，季相变化明显 。</w:t>
            </w:r>
            <w:r/>
          </w:p>
          <w:p>
            <w:pPr>
              <w:ind w:left="31"/>
              <w:spacing w:before="67" w:line="232"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r>
            <w:r/>
          </w:p>
        </w:tc>
        <w:tc>
          <w:tcPr>
            <w:tcBorders>
              <w:left w:val="single" w:color="000000" w:sz="4" w:space="0"/>
              <w:right w:val="single" w:color="000000" w:sz="4" w:space="0"/>
            </w:tcBorders>
            <w:tcW w:w="704" w:type="dxa"/>
            <w:textDirection w:val="lrTb"/>
            <w:noWrap w:val="false"/>
          </w:tcPr>
          <w:p>
            <w:pPr>
              <w:spacing w:line="29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12分</w:t>
            </w:r>
            <w:r/>
          </w:p>
        </w:tc>
        <w:tc>
          <w:tcPr>
            <w:tcBorders>
              <w:left w:val="single" w:color="000000" w:sz="4" w:space="0"/>
            </w:tcBorders>
            <w:tcW w:w="6052" w:type="dxa"/>
            <w:textDirection w:val="lrTb"/>
            <w:noWrap w:val="false"/>
          </w:tcPr>
          <w:p>
            <w:pPr>
              <w:spacing w:line="233" w:lineRule="auto"/>
              <w:rPr>
                <w:rFonts w:hint="eastAsia" w:ascii="宋体" w:hAnsi="宋体" w:eastAsia="宋体" w:cs="宋体"/>
                <w:color w:val="auto"/>
                <w:spacing w:val="14"/>
                <w:sz w:val="17"/>
                <w:szCs w:val="17"/>
                <w:highlight w:val="none"/>
              </w:rPr>
            </w:pPr>
            <w:r>
              <w:rPr>
                <w:rFonts w:hint="eastAsia" w:ascii="宋体" w:hAnsi="宋体" w:eastAsia="宋体" w:cs="宋体"/>
                <w:color w:val="auto"/>
                <w:spacing w:val="14"/>
                <w:sz w:val="17"/>
                <w:szCs w:val="17"/>
                <w:highlight w:val="none"/>
              </w:rPr>
            </w:r>
            <w:r/>
          </w:p>
          <w:p>
            <w:pPr>
              <w:spacing w:line="233" w:lineRule="auto"/>
              <w:rPr>
                <w:rFonts w:hint="eastAsia" w:ascii="宋体" w:hAnsi="宋体" w:eastAsia="宋体" w:cs="宋体"/>
                <w:color w:val="auto"/>
                <w:sz w:val="17"/>
                <w:szCs w:val="17"/>
                <w:highlight w:val="none"/>
              </w:rPr>
            </w:pPr>
            <w:r>
              <w:rPr>
                <w:rFonts w:hint="eastAsia" w:ascii="宋体" w:hAnsi="宋体" w:eastAsia="宋体" w:cs="宋体"/>
                <w:color w:val="auto"/>
                <w:spacing w:val="14"/>
                <w:sz w:val="17"/>
                <w:szCs w:val="17"/>
                <w:highlight w:val="none"/>
              </w:rPr>
              <w:t xml:space="preserve">未</w:t>
            </w:r>
            <w:r>
              <w:rPr>
                <w:rFonts w:hint="eastAsia" w:ascii="宋体" w:hAnsi="宋体" w:eastAsia="宋体" w:cs="宋体"/>
                <w:color w:val="auto"/>
                <w:spacing w:val="7"/>
                <w:sz w:val="17"/>
                <w:szCs w:val="17"/>
                <w:highlight w:val="none"/>
              </w:rPr>
              <w:t xml:space="preserve">及时清理的，一次扣1分。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409"/>
        </w:trPr>
        <w:tc>
          <w:tcPr>
            <w:tcBorders>
              <w:right w:val="single" w:color="000000" w:sz="4" w:space="0"/>
            </w:tcBorders>
            <w:tcW w:w="572" w:type="dxa"/>
            <w:textDirection w:val="lrTb"/>
            <w:noWrap w:val="false"/>
          </w:tcPr>
          <w:p>
            <w:pPr>
              <w:spacing w:line="30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0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4"/>
              <w:spacing w:before="55" w:line="188"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6</w:t>
            </w:r>
            <w:r/>
          </w:p>
        </w:tc>
        <w:tc>
          <w:tcPr>
            <w:tcBorders>
              <w:left w:val="single" w:color="000000" w:sz="4" w:space="0"/>
              <w:right w:val="single" w:color="000000" w:sz="4" w:space="0"/>
            </w:tcBorders>
            <w:tcW w:w="768" w:type="dxa"/>
            <w:textDirection w:val="lrTb"/>
            <w:noWrap w:val="false"/>
          </w:tcPr>
          <w:p>
            <w:pPr>
              <w:spacing w:line="28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73"/>
              <w:spacing w:before="55" w:line="233" w:lineRule="auto"/>
              <w:rPr>
                <w:rFonts w:hint="eastAsia" w:ascii="宋体" w:hAnsi="宋体" w:eastAsia="宋体" w:cs="宋体"/>
                <w:color w:val="auto"/>
                <w:sz w:val="17"/>
                <w:szCs w:val="17"/>
                <w:highlight w:val="none"/>
              </w:rPr>
            </w:pPr>
            <w:r>
              <w:rPr>
                <w:rFonts w:hint="eastAsia" w:ascii="宋体" w:hAnsi="宋体" w:eastAsia="宋体" w:cs="宋体"/>
                <w:color w:val="auto"/>
                <w:spacing w:val="3"/>
                <w:sz w:val="17"/>
                <w:szCs w:val="17"/>
                <w:highlight w:val="none"/>
              </w:rPr>
              <w:t xml:space="preserve">草</w:t>
            </w:r>
            <w:r>
              <w:rPr>
                <w:rFonts w:hint="eastAsia" w:ascii="宋体" w:hAnsi="宋体" w:eastAsia="宋体" w:cs="宋体"/>
                <w:color w:val="auto"/>
                <w:spacing w:val="2"/>
                <w:sz w:val="17"/>
                <w:szCs w:val="17"/>
                <w:highlight w:val="none"/>
              </w:rPr>
              <w:t xml:space="preserve">坪</w:t>
            </w:r>
            <w:r/>
          </w:p>
        </w:tc>
        <w:tc>
          <w:tcPr>
            <w:tcBorders>
              <w:left w:val="single" w:color="000000" w:sz="4" w:space="0"/>
              <w:right w:val="single" w:color="000000" w:sz="4" w:space="0"/>
            </w:tcBorders>
            <w:tcW w:w="6852" w:type="dxa"/>
            <w:textDirection w:val="lrTb"/>
            <w:noWrap w:val="false"/>
          </w:tcPr>
          <w:p>
            <w:pPr>
              <w:ind w:left="33" w:firstLine="2"/>
              <w:spacing w:before="73" w:line="290"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草坪高度</w:t>
            </w:r>
            <w:r>
              <w:rPr>
                <w:rFonts w:hint="eastAsia" w:ascii="宋体" w:hAnsi="宋体" w:eastAsia="宋体" w:cs="宋体"/>
                <w:color w:val="auto"/>
                <w:spacing w:val="8"/>
                <w:sz w:val="17"/>
                <w:szCs w:val="17"/>
                <w:highlight w:val="none"/>
              </w:rPr>
              <w:t xml:space="preserve">控</w:t>
            </w:r>
            <w:r>
              <w:rPr>
                <w:rFonts w:hint="eastAsia" w:ascii="宋体" w:hAnsi="宋体" w:eastAsia="宋体" w:cs="宋体"/>
                <w:color w:val="auto"/>
                <w:spacing w:val="6"/>
                <w:sz w:val="17"/>
                <w:szCs w:val="17"/>
                <w:highlight w:val="none"/>
              </w:rPr>
              <w:t xml:space="preserve">制在应保持4-5</w:t>
            </w:r>
            <w:r>
              <w:rPr>
                <w:rFonts w:hint="eastAsia" w:ascii="宋体" w:hAnsi="宋体" w:eastAsia="宋体" w:cs="宋体"/>
                <w:color w:val="auto"/>
                <w:sz w:val="17"/>
                <w:szCs w:val="17"/>
                <w:highlight w:val="none"/>
              </w:rPr>
              <w:t xml:space="preserve">cm</w:t>
            </w:r>
            <w:r>
              <w:rPr>
                <w:rFonts w:hint="eastAsia" w:ascii="宋体" w:hAnsi="宋体" w:eastAsia="宋体" w:cs="宋体"/>
                <w:color w:val="auto"/>
                <w:spacing w:val="6"/>
                <w:sz w:val="17"/>
                <w:szCs w:val="17"/>
                <w:highlight w:val="none"/>
              </w:rPr>
              <w:t xml:space="preserve">。 当实际草坪高度超出额定高度1/3时，应进行修剪，并切</w:t>
            </w:r>
            <w:r>
              <w:rPr>
                <w:rFonts w:hint="eastAsia" w:ascii="宋体" w:hAnsi="宋体" w:eastAsia="宋体" w:cs="宋体"/>
                <w:color w:val="auto"/>
                <w:spacing w:val="18"/>
                <w:sz w:val="17"/>
                <w:szCs w:val="17"/>
                <w:highlight w:val="none"/>
              </w:rPr>
              <w:t xml:space="preserve">边，</w:t>
            </w:r>
            <w:r>
              <w:rPr>
                <w:rFonts w:hint="eastAsia" w:ascii="宋体" w:hAnsi="宋体" w:eastAsia="宋体" w:cs="宋体"/>
                <w:color w:val="auto"/>
                <w:spacing w:val="10"/>
                <w:sz w:val="17"/>
                <w:szCs w:val="17"/>
                <w:highlight w:val="none"/>
              </w:rPr>
              <w:t xml:space="preserve">形</w:t>
            </w:r>
            <w:r>
              <w:rPr>
                <w:rFonts w:hint="eastAsia" w:ascii="宋体" w:hAnsi="宋体" w:eastAsia="宋体" w:cs="宋体"/>
                <w:color w:val="auto"/>
                <w:spacing w:val="9"/>
                <w:sz w:val="17"/>
                <w:szCs w:val="17"/>
                <w:highlight w:val="none"/>
              </w:rPr>
              <w:t xml:space="preserve">成分隔沟。修剪面平整，边角无遗留，草屑及时扫尽运出。未经同意严禁使用割</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7"/>
                <w:sz w:val="17"/>
                <w:szCs w:val="17"/>
                <w:highlight w:val="none"/>
              </w:rPr>
              <w:t xml:space="preserve">灌</w:t>
            </w:r>
            <w:r>
              <w:rPr>
                <w:rFonts w:hint="eastAsia" w:ascii="宋体" w:hAnsi="宋体" w:eastAsia="宋体" w:cs="宋体"/>
                <w:color w:val="auto"/>
                <w:spacing w:val="9"/>
                <w:sz w:val="17"/>
                <w:szCs w:val="17"/>
                <w:highlight w:val="none"/>
              </w:rPr>
              <w:t xml:space="preserve">机修剪。草坪修剪前需除杂草。草坪杂草率为一级管护绿地杂草率≤2%，二级管护绿</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6"/>
                <w:sz w:val="17"/>
                <w:szCs w:val="17"/>
                <w:highlight w:val="none"/>
              </w:rPr>
              <w:t xml:space="preserve">地杂草率≤10%，三级管护绿地杂草率≤15%，杂草型草坪除外。及时清除大型恶性杂草</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0"/>
                <w:sz w:val="17"/>
                <w:szCs w:val="17"/>
                <w:highlight w:val="none"/>
              </w:rPr>
              <w:t xml:space="preserve">蔓</w:t>
            </w:r>
            <w:r>
              <w:rPr>
                <w:rFonts w:hint="eastAsia" w:ascii="宋体" w:hAnsi="宋体" w:eastAsia="宋体" w:cs="宋体"/>
                <w:color w:val="auto"/>
                <w:spacing w:val="8"/>
                <w:sz w:val="17"/>
                <w:szCs w:val="17"/>
                <w:highlight w:val="none"/>
              </w:rPr>
              <w:t xml:space="preserve">性藤本等杂草，未经同意不得使用除草剂。</w:t>
            </w:r>
            <w:r/>
          </w:p>
        </w:tc>
        <w:tc>
          <w:tcPr>
            <w:tcBorders>
              <w:left w:val="single" w:color="000000" w:sz="4" w:space="0"/>
              <w:right w:val="single" w:color="000000" w:sz="4" w:space="0"/>
            </w:tcBorders>
            <w:tcW w:w="704" w:type="dxa"/>
            <w:textDirection w:val="lrTb"/>
            <w:noWrap w:val="false"/>
          </w:tcPr>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12分</w:t>
            </w:r>
            <w:r/>
          </w:p>
        </w:tc>
        <w:tc>
          <w:tcPr>
            <w:tcBorders>
              <w:left w:val="single" w:color="000000" w:sz="4" w:space="0"/>
            </w:tcBorders>
            <w:tcW w:w="6052" w:type="dxa"/>
            <w:textDirection w:val="lrTb"/>
            <w:noWrap w:val="false"/>
          </w:tcPr>
          <w:p>
            <w:pPr>
              <w:ind w:right="24"/>
              <w:spacing w:before="217" w:line="310" w:lineRule="auto"/>
              <w:rPr>
                <w:rFonts w:hint="eastAsia" w:ascii="宋体" w:hAnsi="宋体" w:eastAsia="宋体" w:cs="宋体"/>
                <w:color w:val="auto"/>
                <w:sz w:val="17"/>
                <w:szCs w:val="17"/>
                <w:highlight w:val="none"/>
              </w:rPr>
            </w:pPr>
            <w:r>
              <w:rPr>
                <w:rFonts w:hint="eastAsia" w:ascii="宋体" w:hAnsi="宋体" w:eastAsia="宋体" w:cs="宋体"/>
                <w:color w:val="auto"/>
                <w:spacing w:val="14"/>
                <w:sz w:val="17"/>
                <w:szCs w:val="17"/>
                <w:highlight w:val="none"/>
              </w:rPr>
              <w:t xml:space="preserve">未</w:t>
            </w:r>
            <w:r>
              <w:rPr>
                <w:rFonts w:hint="eastAsia" w:ascii="宋体" w:hAnsi="宋体" w:eastAsia="宋体" w:cs="宋体"/>
                <w:color w:val="auto"/>
                <w:spacing w:val="8"/>
                <w:sz w:val="17"/>
                <w:szCs w:val="17"/>
                <w:highlight w:val="none"/>
              </w:rPr>
              <w:t xml:space="preserve">按照规范、及时修剪的，发现一处扣1分。违规使用割灌机修剪的，发现</w:t>
            </w:r>
            <w:r>
              <w:rPr>
                <w:rFonts w:hint="eastAsia" w:ascii="宋体" w:hAnsi="宋体" w:eastAsia="宋体" w:cs="宋体"/>
                <w:color w:val="auto"/>
                <w:spacing w:val="20"/>
                <w:sz w:val="17"/>
                <w:szCs w:val="17"/>
                <w:highlight w:val="none"/>
              </w:rPr>
              <w:t xml:space="preserve">一次</w:t>
            </w:r>
            <w:r>
              <w:rPr>
                <w:rFonts w:hint="eastAsia" w:ascii="宋体" w:hAnsi="宋体" w:eastAsia="宋体" w:cs="宋体"/>
                <w:color w:val="auto"/>
                <w:spacing w:val="11"/>
                <w:sz w:val="17"/>
                <w:szCs w:val="17"/>
                <w:highlight w:val="none"/>
              </w:rPr>
              <w:t xml:space="preserve">扣</w:t>
            </w:r>
            <w:r>
              <w:rPr>
                <w:rFonts w:hint="eastAsia" w:ascii="宋体" w:hAnsi="宋体" w:eastAsia="宋体" w:cs="宋体"/>
                <w:color w:val="auto"/>
                <w:spacing w:val="10"/>
                <w:sz w:val="17"/>
                <w:szCs w:val="17"/>
                <w:highlight w:val="none"/>
              </w:rPr>
              <w:t xml:space="preserve">2分。草坪修剪前未除杂草，发现一次扣2分。草坪内杂草明显，超</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8"/>
                <w:sz w:val="17"/>
                <w:szCs w:val="17"/>
                <w:highlight w:val="none"/>
              </w:rPr>
              <w:t xml:space="preserve">过规定杂草率的，发现一处，扣1分。违规使用除草剂的，发现一次，扣2</w:t>
            </w:r>
            <w:r>
              <w:rPr>
                <w:rFonts w:hint="eastAsia" w:ascii="宋体" w:hAnsi="宋体" w:eastAsia="宋体" w:cs="宋体"/>
                <w:color w:val="auto"/>
                <w:spacing w:val="-3"/>
                <w:sz w:val="17"/>
                <w:szCs w:val="17"/>
                <w:highlight w:val="none"/>
              </w:rPr>
              <w:t xml:space="preserve">分</w:t>
            </w:r>
            <w:r>
              <w:rPr>
                <w:rFonts w:hint="eastAsia" w:ascii="宋体" w:hAnsi="宋体" w:eastAsia="宋体" w:cs="宋体"/>
                <w:color w:val="auto"/>
                <w:spacing w:val="-2"/>
                <w:sz w:val="17"/>
                <w:szCs w:val="17"/>
                <w:highlight w:val="none"/>
              </w:rPr>
              <w:t xml:space="preserve">。</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855"/>
        </w:trPr>
        <w:tc>
          <w:tcPr>
            <w:tcBorders>
              <w:left w:val="single" w:color="000000" w:sz="4" w:space="0"/>
              <w:right w:val="single" w:color="000000" w:sz="4" w:space="0"/>
            </w:tcBorders>
            <w:tcW w:w="572" w:type="dxa"/>
            <w:textDirection w:val="lrTb"/>
            <w:noWrap w:val="false"/>
          </w:tcPr>
          <w:p>
            <w:pPr>
              <w:spacing w:line="33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4"/>
              <w:spacing w:before="55" w:line="186"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7</w:t>
            </w:r>
            <w:r/>
          </w:p>
        </w:tc>
        <w:tc>
          <w:tcPr>
            <w:tcBorders>
              <w:left w:val="single" w:color="000000" w:sz="4" w:space="0"/>
              <w:right w:val="single" w:color="000000" w:sz="4" w:space="0"/>
            </w:tcBorders>
            <w:tcW w:w="768" w:type="dxa"/>
            <w:textDirection w:val="lrTb"/>
            <w:noWrap w:val="false"/>
          </w:tcPr>
          <w:p>
            <w:pPr>
              <w:ind w:left="217" w:right="79" w:hanging="135"/>
              <w:spacing w:before="218" w:line="322" w:lineRule="auto"/>
              <w:rPr>
                <w:rFonts w:hint="eastAsia" w:ascii="宋体" w:hAnsi="宋体" w:eastAsia="宋体" w:cs="宋体"/>
                <w:color w:val="auto"/>
                <w:sz w:val="17"/>
                <w:szCs w:val="17"/>
                <w:highlight w:val="none"/>
              </w:rPr>
            </w:pPr>
            <w:r>
              <w:rPr>
                <w:rFonts w:hint="eastAsia" w:ascii="宋体" w:hAnsi="宋体" w:eastAsia="宋体" w:cs="宋体"/>
                <w:color w:val="auto"/>
                <w:spacing w:val="6"/>
                <w:sz w:val="17"/>
                <w:szCs w:val="17"/>
                <w:highlight w:val="none"/>
              </w:rPr>
              <w:t xml:space="preserve">肥水管</w:t>
            </w:r>
            <w:r>
              <w:rPr>
                <w:rFonts w:hint="eastAsia" w:ascii="宋体" w:hAnsi="宋体" w:eastAsia="宋体" w:cs="宋体"/>
                <w:color w:val="auto"/>
                <w:sz w:val="17"/>
                <w:szCs w:val="17"/>
                <w:highlight w:val="none"/>
              </w:rPr>
              <w:t xml:space="preserve"> 理</w:t>
            </w:r>
            <w:r/>
          </w:p>
        </w:tc>
        <w:tc>
          <w:tcPr>
            <w:tcBorders>
              <w:left w:val="single" w:color="000000" w:sz="4" w:space="0"/>
              <w:right w:val="single" w:color="000000" w:sz="4" w:space="0"/>
            </w:tcBorders>
            <w:tcW w:w="6852" w:type="dxa"/>
            <w:textDirection w:val="lrTb"/>
            <w:noWrap w:val="false"/>
          </w:tcPr>
          <w:p>
            <w:pPr>
              <w:ind w:left="33" w:right="25" w:firstLine="5"/>
              <w:spacing w:before="80" w:line="280" w:lineRule="auto"/>
              <w:rPr>
                <w:rFonts w:hint="eastAsia" w:ascii="宋体" w:hAnsi="宋体" w:eastAsia="宋体" w:cs="宋体"/>
                <w:color w:val="auto"/>
                <w:sz w:val="17"/>
                <w:szCs w:val="17"/>
                <w:highlight w:val="none"/>
              </w:rPr>
            </w:pPr>
            <w:r>
              <w:rPr>
                <w:rFonts w:hint="eastAsia" w:ascii="宋体" w:hAnsi="宋体" w:eastAsia="宋体" w:cs="宋体"/>
                <w:color w:val="auto"/>
                <w:spacing w:val="16"/>
                <w:sz w:val="17"/>
                <w:szCs w:val="17"/>
                <w:highlight w:val="none"/>
              </w:rPr>
              <w:t xml:space="preserve">干</w:t>
            </w:r>
            <w:r>
              <w:rPr>
                <w:rFonts w:hint="eastAsia" w:ascii="宋体" w:hAnsi="宋体" w:eastAsia="宋体" w:cs="宋体"/>
                <w:color w:val="auto"/>
                <w:spacing w:val="10"/>
                <w:sz w:val="17"/>
                <w:szCs w:val="17"/>
                <w:highlight w:val="none"/>
              </w:rPr>
              <w:t xml:space="preserve">旱时及时浇水并灌足灌透，洪涝时及时排除积水。浇灌需参照《园林绿化植物浇灌技</w:t>
            </w:r>
            <w:r>
              <w:rPr>
                <w:rFonts w:hint="eastAsia" w:ascii="宋体" w:hAnsi="宋体" w:eastAsia="宋体" w:cs="宋体"/>
                <w:color w:val="auto"/>
                <w:spacing w:val="18"/>
                <w:sz w:val="17"/>
                <w:szCs w:val="17"/>
                <w:highlight w:val="none"/>
              </w:rPr>
              <w:t xml:space="preserve">术规范</w:t>
            </w:r>
            <w:r>
              <w:rPr>
                <w:rFonts w:hint="eastAsia" w:ascii="宋体" w:hAnsi="宋体" w:eastAsia="宋体" w:cs="宋体"/>
                <w:color w:val="auto"/>
                <w:spacing w:val="9"/>
                <w:sz w:val="17"/>
                <w:szCs w:val="17"/>
                <w:highlight w:val="none"/>
              </w:rPr>
              <w:t xml:space="preserve">(试行) 》要求进行浇水。施肥应参照《泰州市市政园林事业中心植物施肥管理</w:t>
            </w:r>
            <w:r>
              <w:rPr>
                <w:rFonts w:hint="eastAsia" w:ascii="宋体" w:hAnsi="宋体" w:eastAsia="宋体" w:cs="宋体"/>
                <w:color w:val="auto"/>
                <w:spacing w:val="8"/>
                <w:sz w:val="17"/>
                <w:szCs w:val="17"/>
                <w:highlight w:val="none"/>
              </w:rPr>
              <w:t xml:space="preserve">方</w:t>
            </w:r>
            <w:r>
              <w:rPr>
                <w:rFonts w:hint="eastAsia" w:ascii="宋体" w:hAnsi="宋体" w:eastAsia="宋体" w:cs="宋体"/>
                <w:color w:val="auto"/>
                <w:spacing w:val="7"/>
                <w:sz w:val="17"/>
                <w:szCs w:val="17"/>
                <w:highlight w:val="none"/>
              </w:rPr>
              <w:t xml:space="preserve">案》进行施肥。</w:t>
            </w:r>
            <w:r/>
          </w:p>
        </w:tc>
        <w:tc>
          <w:tcPr>
            <w:tcBorders>
              <w:left w:val="single" w:color="000000" w:sz="4" w:space="0"/>
              <w:right w:val="single" w:color="000000" w:sz="4" w:space="0"/>
            </w:tcBorders>
            <w:tcW w:w="704" w:type="dxa"/>
            <w:textDirection w:val="lrTb"/>
            <w:noWrap w:val="false"/>
          </w:tcPr>
          <w:p>
            <w:pPr>
              <w:spacing w:line="28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19"/>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pacing w:val="3"/>
                <w:sz w:val="17"/>
                <w:szCs w:val="17"/>
                <w:highlight w:val="none"/>
              </w:rPr>
              <w:t xml:space="preserve">5分</w:t>
            </w:r>
            <w:r/>
          </w:p>
        </w:tc>
        <w:tc>
          <w:tcPr>
            <w:tcBorders>
              <w:left w:val="single" w:color="000000" w:sz="4" w:space="0"/>
            </w:tcBorders>
            <w:tcW w:w="6052" w:type="dxa"/>
            <w:textDirection w:val="lrTb"/>
            <w:noWrap w:val="false"/>
          </w:tcPr>
          <w:p>
            <w:pPr>
              <w:ind w:left="36"/>
              <w:spacing w:before="80" w:line="280"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考核人根</w:t>
            </w:r>
            <w:r>
              <w:rPr>
                <w:rFonts w:hint="eastAsia" w:ascii="宋体" w:hAnsi="宋体" w:eastAsia="宋体" w:cs="宋体"/>
                <w:color w:val="auto"/>
                <w:spacing w:val="6"/>
                <w:sz w:val="17"/>
                <w:szCs w:val="17"/>
                <w:highlight w:val="none"/>
              </w:rPr>
              <w:t xml:space="preserve">据作业队上传施肥、浇水工作记录，及规范要求，视情况直接扣分。</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7"/>
                <w:sz w:val="17"/>
                <w:szCs w:val="17"/>
                <w:highlight w:val="none"/>
              </w:rPr>
              <w:t xml:space="preserve">上</w:t>
            </w:r>
            <w:r>
              <w:rPr>
                <w:rFonts w:hint="eastAsia" w:ascii="宋体" w:hAnsi="宋体" w:eastAsia="宋体" w:cs="宋体"/>
                <w:color w:val="auto"/>
                <w:spacing w:val="10"/>
                <w:sz w:val="17"/>
                <w:szCs w:val="17"/>
                <w:highlight w:val="none"/>
              </w:rPr>
              <w:t xml:space="preserve">传施肥、浇水工作记录细致、全面的不扣分；上传资料不全面、敷衍了事</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0"/>
                <w:sz w:val="17"/>
                <w:szCs w:val="17"/>
                <w:highlight w:val="none"/>
              </w:rPr>
              <w:t xml:space="preserve">的</w:t>
            </w:r>
            <w:r>
              <w:rPr>
                <w:rFonts w:hint="eastAsia" w:ascii="宋体" w:hAnsi="宋体" w:eastAsia="宋体" w:cs="宋体"/>
                <w:color w:val="auto"/>
                <w:spacing w:val="6"/>
                <w:sz w:val="17"/>
                <w:szCs w:val="17"/>
                <w:highlight w:val="none"/>
              </w:rPr>
              <w:t xml:space="preserve">扣1分；无记录的扣3分。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775"/>
        </w:trPr>
        <w:tc>
          <w:tcPr>
            <w:tcBorders>
              <w:left w:val="single" w:color="000000" w:sz="4" w:space="0"/>
              <w:right w:val="single" w:color="000000" w:sz="4" w:space="0"/>
            </w:tcBorders>
            <w:tcW w:w="572" w:type="dxa"/>
            <w:textDirection w:val="lrTb"/>
            <w:noWrap w:val="false"/>
          </w:tcPr>
          <w:p>
            <w:pPr>
              <w:spacing w:line="3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41"/>
              <w:spacing w:before="55" w:line="188"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8</w:t>
            </w:r>
            <w:r/>
          </w:p>
        </w:tc>
        <w:tc>
          <w:tcPr>
            <w:tcBorders>
              <w:left w:val="single" w:color="000000" w:sz="4" w:space="0"/>
              <w:right w:val="single" w:color="000000" w:sz="4" w:space="0"/>
            </w:tcBorders>
            <w:tcW w:w="768" w:type="dxa"/>
            <w:textDirection w:val="lrTb"/>
            <w:noWrap w:val="false"/>
          </w:tcPr>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261" w:right="79" w:hanging="180"/>
              <w:spacing w:before="56" w:line="316" w:lineRule="auto"/>
              <w:rPr>
                <w:rFonts w:hint="eastAsia" w:ascii="宋体" w:hAnsi="宋体" w:eastAsia="宋体" w:cs="宋体"/>
                <w:color w:val="auto"/>
                <w:sz w:val="17"/>
                <w:szCs w:val="17"/>
                <w:highlight w:val="none"/>
              </w:rPr>
            </w:pPr>
            <w:r>
              <w:rPr>
                <w:rFonts w:hint="eastAsia" w:ascii="宋体" w:hAnsi="宋体" w:eastAsia="宋体" w:cs="宋体"/>
                <w:color w:val="auto"/>
                <w:spacing w:val="6"/>
                <w:sz w:val="17"/>
                <w:szCs w:val="17"/>
                <w:highlight w:val="none"/>
              </w:rPr>
              <w:t xml:space="preserve">植物保</w:t>
            </w:r>
            <w:r>
              <w:rPr>
                <w:rFonts w:hint="eastAsia" w:ascii="宋体" w:hAnsi="宋体" w:eastAsia="宋体" w:cs="宋体"/>
                <w:color w:val="auto"/>
                <w:sz w:val="17"/>
                <w:szCs w:val="17"/>
                <w:highlight w:val="none"/>
              </w:rPr>
              <w:t xml:space="preserve"> 护</w:t>
            </w:r>
            <w:r/>
          </w:p>
        </w:tc>
        <w:tc>
          <w:tcPr>
            <w:tcBorders>
              <w:left w:val="single" w:color="000000" w:sz="4" w:space="0"/>
              <w:right w:val="single" w:color="000000" w:sz="4" w:space="0"/>
            </w:tcBorders>
            <w:tcW w:w="6852" w:type="dxa"/>
            <w:textDirection w:val="lrTb"/>
            <w:noWrap w:val="false"/>
          </w:tcPr>
          <w:p>
            <w:pPr>
              <w:spacing w:line="3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2"/>
              <w:spacing w:before="55" w:line="311" w:lineRule="auto"/>
              <w:rPr>
                <w:rFonts w:hint="eastAsia" w:ascii="宋体" w:hAnsi="宋体" w:eastAsia="宋体" w:cs="宋体"/>
                <w:color w:val="auto"/>
                <w:sz w:val="17"/>
                <w:szCs w:val="17"/>
                <w:highlight w:val="none"/>
              </w:rPr>
            </w:pPr>
            <w:r>
              <w:rPr>
                <w:rFonts w:hint="eastAsia" w:ascii="宋体" w:hAnsi="宋体" w:eastAsia="宋体" w:cs="宋体"/>
                <w:color w:val="auto"/>
                <w:spacing w:val="12"/>
                <w:sz w:val="17"/>
                <w:szCs w:val="17"/>
                <w:highlight w:val="none"/>
              </w:rPr>
              <w:t xml:space="preserve">病</w:t>
            </w:r>
            <w:r>
              <w:rPr>
                <w:rFonts w:hint="eastAsia" w:ascii="宋体" w:hAnsi="宋体" w:eastAsia="宋体" w:cs="宋体"/>
                <w:color w:val="auto"/>
                <w:spacing w:val="6"/>
                <w:sz w:val="17"/>
                <w:szCs w:val="17"/>
                <w:highlight w:val="none"/>
              </w:rPr>
              <w:t xml:space="preserve">虫害危害率在5%以下。发现病虫害应及时防治，效果明显。农药严格按指导要求配比、</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8"/>
                <w:sz w:val="17"/>
                <w:szCs w:val="17"/>
                <w:highlight w:val="none"/>
              </w:rPr>
              <w:t xml:space="preserve">用量</w:t>
            </w:r>
            <w:r>
              <w:rPr>
                <w:rFonts w:hint="eastAsia" w:ascii="宋体" w:hAnsi="宋体" w:eastAsia="宋体" w:cs="宋体"/>
                <w:color w:val="auto"/>
                <w:spacing w:val="11"/>
                <w:sz w:val="17"/>
                <w:szCs w:val="17"/>
                <w:highlight w:val="none"/>
              </w:rPr>
              <w:t xml:space="preserve">正</w:t>
            </w:r>
            <w:r>
              <w:rPr>
                <w:rFonts w:hint="eastAsia" w:ascii="宋体" w:hAnsi="宋体" w:eastAsia="宋体" w:cs="宋体"/>
                <w:color w:val="auto"/>
                <w:spacing w:val="9"/>
                <w:sz w:val="17"/>
                <w:szCs w:val="17"/>
                <w:highlight w:val="none"/>
              </w:rPr>
              <w:t xml:space="preserve">确，无药害产生。冬季清除树下枯枝落叶，树木涂白、修剪，清理消灭越冬虫蛹</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7"/>
                <w:sz w:val="17"/>
                <w:szCs w:val="17"/>
                <w:highlight w:val="none"/>
              </w:rPr>
              <w:t xml:space="preserve">虫茧及有关病原体</w:t>
            </w:r>
            <w:r>
              <w:rPr>
                <w:rFonts w:hint="eastAsia" w:ascii="宋体" w:hAnsi="宋体" w:eastAsia="宋体" w:cs="宋体"/>
                <w:color w:val="auto"/>
                <w:spacing w:val="6"/>
                <w:sz w:val="17"/>
                <w:szCs w:val="17"/>
                <w:highlight w:val="none"/>
              </w:rPr>
              <w:t xml:space="preserve">。</w:t>
            </w:r>
            <w:r/>
          </w:p>
        </w:tc>
        <w:tc>
          <w:tcPr>
            <w:tcBorders>
              <w:left w:val="single" w:color="000000" w:sz="4" w:space="0"/>
              <w:right w:val="single" w:color="000000" w:sz="4" w:space="0"/>
            </w:tcBorders>
            <w:tcW w:w="704" w:type="dxa"/>
            <w:textDirection w:val="lrTb"/>
            <w:noWrap w:val="false"/>
          </w:tcPr>
          <w:p>
            <w:pPr>
              <w:spacing w:line="31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1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185"/>
              <w:spacing w:before="55" w:line="235" w:lineRule="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12分</w:t>
            </w:r>
            <w:r/>
          </w:p>
        </w:tc>
        <w:tc>
          <w:tcPr>
            <w:tcBorders>
              <w:left w:val="single" w:color="000000" w:sz="4" w:space="0"/>
            </w:tcBorders>
            <w:tcW w:w="6052" w:type="dxa"/>
            <w:textDirection w:val="lrTb"/>
            <w:noWrap w:val="false"/>
          </w:tcPr>
          <w:p>
            <w:pPr>
              <w:spacing w:line="37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6"/>
              <w:spacing w:before="55" w:line="312" w:lineRule="auto"/>
              <w:rPr>
                <w:rFonts w:hint="eastAsia" w:ascii="宋体" w:hAnsi="宋体" w:eastAsia="宋体" w:cs="宋体"/>
                <w:color w:val="auto"/>
                <w:sz w:val="17"/>
                <w:szCs w:val="17"/>
                <w:highlight w:val="none"/>
              </w:rPr>
            </w:pPr>
            <w:r>
              <w:rPr>
                <w:rFonts w:hint="eastAsia" w:ascii="宋体" w:hAnsi="宋体" w:eastAsia="宋体" w:cs="宋体"/>
                <w:color w:val="auto"/>
                <w:spacing w:val="8"/>
                <w:sz w:val="17"/>
                <w:szCs w:val="17"/>
                <w:highlight w:val="none"/>
              </w:rPr>
              <w:t xml:space="preserve">病虫害防治未按规定进行的，每处扣1分。防治产生药害的，扣1分/处</w:t>
            </w:r>
            <w:r>
              <w:rPr>
                <w:rFonts w:hint="eastAsia" w:ascii="宋体" w:hAnsi="宋体" w:eastAsia="宋体" w:cs="宋体"/>
                <w:color w:val="auto"/>
                <w:spacing w:val="2"/>
                <w:sz w:val="17"/>
                <w:szCs w:val="17"/>
                <w:highlight w:val="none"/>
              </w:rPr>
              <w:t xml:space="preserve">；</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2"/>
                <w:sz w:val="17"/>
                <w:szCs w:val="17"/>
                <w:highlight w:val="none"/>
              </w:rPr>
              <w:t xml:space="preserve">冬季未</w:t>
            </w:r>
            <w:r>
              <w:rPr>
                <w:rFonts w:hint="eastAsia" w:ascii="宋体" w:hAnsi="宋体" w:eastAsia="宋体" w:cs="宋体"/>
                <w:color w:val="auto"/>
                <w:spacing w:val="11"/>
                <w:sz w:val="17"/>
                <w:szCs w:val="17"/>
                <w:highlight w:val="none"/>
              </w:rPr>
              <w:t xml:space="preserve">按</w:t>
            </w:r>
            <w:r>
              <w:rPr>
                <w:rFonts w:hint="eastAsia" w:ascii="宋体" w:hAnsi="宋体" w:eastAsia="宋体" w:cs="宋体"/>
                <w:color w:val="auto"/>
                <w:spacing w:val="6"/>
                <w:sz w:val="17"/>
                <w:szCs w:val="17"/>
                <w:highlight w:val="none"/>
              </w:rPr>
              <w:t xml:space="preserve">要求进行树木涂白、修剪、清理消灭越冬虫蛹虫茧及有关病原体的，</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5"/>
                <w:sz w:val="17"/>
                <w:szCs w:val="17"/>
                <w:highlight w:val="none"/>
              </w:rPr>
              <w:t xml:space="preserve">每处扣1分</w:t>
            </w:r>
            <w:r>
              <w:rPr>
                <w:rFonts w:hint="eastAsia" w:ascii="宋体" w:hAnsi="宋体" w:eastAsia="宋体" w:cs="宋体"/>
                <w:color w:val="auto"/>
                <w:spacing w:val="4"/>
                <w:sz w:val="17"/>
                <w:szCs w:val="17"/>
                <w:highlight w:val="none"/>
              </w:rPr>
              <w:t xml:space="preserve">。</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775"/>
        </w:trPr>
        <w:tc>
          <w:tcPr>
            <w:tcBorders>
              <w:left w:val="single" w:color="000000" w:sz="4" w:space="0"/>
              <w:right w:val="single" w:color="000000" w:sz="4" w:space="0"/>
            </w:tcBorders>
            <w:tcW w:w="572" w:type="dxa"/>
            <w:vAlign w:val="center"/>
            <w:textDirection w:val="lrTb"/>
            <w:noWrap w:val="false"/>
          </w:tcPr>
          <w:p>
            <w:pPr>
              <w:jc w:val="center"/>
              <w:spacing w:line="33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40" w:lineRule="auto"/>
              <w:rPr>
                <w:rFonts w:hint="eastAsia" w:ascii="宋体" w:hAnsi="宋体" w:eastAsia="宋体" w:cs="宋体"/>
                <w:color w:val="auto"/>
                <w:sz w:val="21"/>
                <w:highlight w:val="none"/>
              </w:rPr>
            </w:pPr>
            <w:r>
              <w:rPr>
                <w:rFonts w:hint="eastAsia" w:ascii="宋体" w:hAnsi="宋体" w:eastAsia="宋体" w:cs="宋体"/>
                <w:color w:val="auto"/>
                <w:sz w:val="17"/>
                <w:szCs w:val="17"/>
                <w:highlight w:val="none"/>
              </w:rPr>
              <w:t xml:space="preserve">9</w:t>
            </w:r>
            <w:r/>
          </w:p>
        </w:tc>
        <w:tc>
          <w:tcPr>
            <w:tcBorders>
              <w:left w:val="single" w:color="000000" w:sz="4" w:space="0"/>
              <w:right w:val="single" w:color="000000" w:sz="4" w:space="0"/>
            </w:tcBorders>
            <w:tcW w:w="768" w:type="dxa"/>
            <w:vAlign w:val="center"/>
            <w:textDirection w:val="lrTb"/>
            <w:noWrap w:val="false"/>
          </w:tcPr>
          <w:p>
            <w:pPr>
              <w:ind w:left="92"/>
              <w:jc w:val="center"/>
              <w:spacing w:before="78" w:line="236" w:lineRule="auto"/>
              <w:rPr>
                <w:rFonts w:hint="eastAsia" w:ascii="宋体" w:hAnsi="宋体" w:eastAsia="宋体" w:cs="宋体"/>
                <w:color w:val="auto"/>
                <w:sz w:val="17"/>
                <w:szCs w:val="17"/>
                <w:highlight w:val="none"/>
              </w:rPr>
            </w:pPr>
            <w:r>
              <w:rPr>
                <w:rFonts w:hint="eastAsia" w:ascii="宋体" w:hAnsi="宋体" w:eastAsia="宋体" w:cs="宋体"/>
                <w:color w:val="auto"/>
                <w:spacing w:val="3"/>
                <w:sz w:val="17"/>
                <w:szCs w:val="17"/>
                <w:highlight w:val="none"/>
              </w:rPr>
              <w:t xml:space="preserve">生</w:t>
            </w:r>
            <w:r>
              <w:rPr>
                <w:rFonts w:hint="eastAsia" w:ascii="宋体" w:hAnsi="宋体" w:eastAsia="宋体" w:cs="宋体"/>
                <w:color w:val="auto"/>
                <w:spacing w:val="2"/>
                <w:sz w:val="17"/>
                <w:szCs w:val="17"/>
                <w:highlight w:val="none"/>
              </w:rPr>
              <w:t xml:space="preserve">长状</w:t>
            </w:r>
            <w:r/>
          </w:p>
          <w:p>
            <w:pPr>
              <w:ind w:left="82"/>
              <w:jc w:val="center"/>
              <w:spacing w:before="63" w:line="233" w:lineRule="auto"/>
              <w:rPr>
                <w:rFonts w:hint="eastAsia" w:ascii="宋体" w:hAnsi="宋体" w:eastAsia="宋体" w:cs="宋体"/>
                <w:color w:val="auto"/>
                <w:sz w:val="17"/>
                <w:szCs w:val="17"/>
                <w:highlight w:val="none"/>
              </w:rPr>
            </w:pPr>
            <w:r>
              <w:rPr>
                <w:rFonts w:hint="eastAsia" w:ascii="宋体" w:hAnsi="宋体" w:eastAsia="宋体" w:cs="宋体"/>
                <w:color w:val="auto"/>
                <w:spacing w:val="7"/>
                <w:sz w:val="17"/>
                <w:szCs w:val="17"/>
                <w:highlight w:val="none"/>
              </w:rPr>
              <w:t xml:space="preserve">况</w:t>
            </w:r>
            <w:r>
              <w:rPr>
                <w:rFonts w:hint="eastAsia" w:ascii="宋体" w:hAnsi="宋体" w:eastAsia="宋体" w:cs="宋体"/>
                <w:color w:val="auto"/>
                <w:spacing w:val="5"/>
                <w:sz w:val="17"/>
                <w:szCs w:val="17"/>
                <w:highlight w:val="none"/>
              </w:rPr>
              <w:t xml:space="preserve">及补</w:t>
            </w:r>
            <w:r/>
          </w:p>
          <w:p>
            <w:pPr>
              <w:jc w:val="center"/>
              <w:spacing w:line="255" w:lineRule="auto"/>
              <w:rPr>
                <w:rFonts w:hint="eastAsia" w:ascii="宋体" w:hAnsi="宋体" w:eastAsia="宋体" w:cs="宋体"/>
                <w:color w:val="auto"/>
                <w:sz w:val="21"/>
                <w:highlight w:val="none"/>
              </w:rPr>
            </w:pPr>
            <w:r>
              <w:rPr>
                <w:rFonts w:hint="eastAsia" w:ascii="宋体" w:hAnsi="宋体" w:eastAsia="宋体" w:cs="宋体"/>
                <w:color w:val="auto"/>
                <w:sz w:val="17"/>
                <w:szCs w:val="17"/>
                <w:highlight w:val="none"/>
              </w:rPr>
              <w:t xml:space="preserve">植</w:t>
            </w:r>
            <w:r/>
          </w:p>
        </w:tc>
        <w:tc>
          <w:tcPr>
            <w:tcBorders>
              <w:left w:val="single" w:color="000000" w:sz="4" w:space="0"/>
              <w:right w:val="single" w:color="000000" w:sz="4" w:space="0"/>
            </w:tcBorders>
            <w:tcW w:w="6852" w:type="dxa"/>
            <w:vAlign w:val="center"/>
            <w:textDirection w:val="lrTb"/>
            <w:noWrap w:val="false"/>
          </w:tcPr>
          <w:p>
            <w:pPr>
              <w:jc w:val="both"/>
              <w:spacing w:line="372" w:lineRule="auto"/>
              <w:rPr>
                <w:rFonts w:hint="eastAsia" w:ascii="宋体" w:hAnsi="宋体" w:eastAsia="宋体" w:cs="宋体"/>
                <w:color w:val="auto"/>
                <w:sz w:val="21"/>
                <w:highlight w:val="none"/>
              </w:rPr>
            </w:pPr>
            <w:r>
              <w:rPr>
                <w:rFonts w:hint="eastAsia" w:ascii="宋体" w:hAnsi="宋体" w:eastAsia="宋体" w:cs="宋体"/>
                <w:color w:val="auto"/>
                <w:spacing w:val="15"/>
                <w:sz w:val="17"/>
                <w:szCs w:val="17"/>
                <w:highlight w:val="none"/>
              </w:rPr>
              <w:t xml:space="preserve">有</w:t>
            </w:r>
            <w:r>
              <w:rPr>
                <w:rFonts w:hint="eastAsia" w:ascii="宋体" w:hAnsi="宋体" w:eastAsia="宋体" w:cs="宋体"/>
                <w:color w:val="auto"/>
                <w:spacing w:val="9"/>
                <w:sz w:val="17"/>
                <w:szCs w:val="17"/>
                <w:highlight w:val="none"/>
              </w:rPr>
              <w:t xml:space="preserve">死亡树木、死苗的，及时报告，24小时内清除完毕。缺死苗木按照要求在规定的时间</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0"/>
                <w:sz w:val="17"/>
                <w:szCs w:val="17"/>
                <w:highlight w:val="none"/>
              </w:rPr>
              <w:t xml:space="preserve">内保质保量补</w:t>
            </w:r>
            <w:r>
              <w:rPr>
                <w:rFonts w:hint="eastAsia" w:ascii="宋体" w:hAnsi="宋体" w:eastAsia="宋体" w:cs="宋体"/>
                <w:color w:val="auto"/>
                <w:spacing w:val="5"/>
                <w:sz w:val="17"/>
                <w:szCs w:val="17"/>
                <w:highlight w:val="none"/>
              </w:rPr>
              <w:t xml:space="preserve">植到位，并确保成活且符合景观要求。绿地内植株必须保持良好生长状态。</w:t>
            </w:r>
            <w:r/>
          </w:p>
        </w:tc>
        <w:tc>
          <w:tcPr>
            <w:tcBorders>
              <w:left w:val="single" w:color="000000" w:sz="4" w:space="0"/>
              <w:right w:val="single" w:color="000000" w:sz="4" w:space="0"/>
            </w:tcBorders>
            <w:tcW w:w="704" w:type="dxa"/>
            <w:vAlign w:val="center"/>
            <w:textDirection w:val="lrTb"/>
            <w:noWrap w:val="false"/>
          </w:tcPr>
          <w:p>
            <w:pPr>
              <w:jc w:val="center"/>
              <w:spacing w:line="28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15" w:lineRule="auto"/>
              <w:rPr>
                <w:rFonts w:hint="eastAsia" w:ascii="宋体" w:hAnsi="宋体" w:eastAsia="宋体" w:cs="宋体"/>
                <w:color w:val="auto"/>
                <w:sz w:val="21"/>
                <w:highlight w:val="none"/>
              </w:rPr>
            </w:pPr>
            <w:r>
              <w:rPr>
                <w:rFonts w:hint="eastAsia" w:ascii="宋体" w:hAnsi="宋体" w:eastAsia="宋体" w:cs="宋体"/>
                <w:color w:val="auto"/>
                <w:sz w:val="17"/>
                <w:szCs w:val="17"/>
                <w:highlight w:val="none"/>
              </w:rPr>
              <w:t xml:space="preserve">10分</w:t>
            </w:r>
            <w:r/>
          </w:p>
        </w:tc>
        <w:tc>
          <w:tcPr>
            <w:tcBorders>
              <w:left w:val="single" w:color="000000" w:sz="4" w:space="0"/>
            </w:tcBorders>
            <w:tcW w:w="6052" w:type="dxa"/>
            <w:vAlign w:val="center"/>
            <w:textDirection w:val="lrTb"/>
            <w:noWrap w:val="false"/>
          </w:tcPr>
          <w:p>
            <w:pPr>
              <w:jc w:val="both"/>
              <w:spacing w:line="370" w:lineRule="auto"/>
              <w:rPr>
                <w:rFonts w:hint="eastAsia" w:ascii="宋体" w:hAnsi="宋体" w:eastAsia="宋体" w:cs="宋体"/>
                <w:color w:val="auto"/>
                <w:sz w:val="21"/>
                <w:highlight w:val="none"/>
              </w:rPr>
            </w:pPr>
            <w:r>
              <w:rPr>
                <w:rFonts w:hint="eastAsia" w:ascii="宋体" w:hAnsi="宋体" w:eastAsia="宋体" w:cs="宋体"/>
                <w:color w:val="auto"/>
                <w:spacing w:val="14"/>
                <w:sz w:val="17"/>
                <w:szCs w:val="17"/>
                <w:highlight w:val="none"/>
              </w:rPr>
              <w:t xml:space="preserve">未</w:t>
            </w:r>
            <w:r>
              <w:rPr>
                <w:rFonts w:hint="eastAsia" w:ascii="宋体" w:hAnsi="宋体" w:eastAsia="宋体" w:cs="宋体"/>
                <w:color w:val="auto"/>
                <w:spacing w:val="8"/>
                <w:sz w:val="17"/>
                <w:szCs w:val="17"/>
                <w:highlight w:val="none"/>
              </w:rPr>
              <w:t xml:space="preserve">报告或未及时清除或清除不彻底，留有残根的，每株扣1分，并扣除养护</w:t>
            </w:r>
            <w:r>
              <w:rPr>
                <w:rFonts w:hint="eastAsia" w:ascii="宋体" w:hAnsi="宋体" w:eastAsia="宋体" w:cs="宋体"/>
                <w:color w:val="auto"/>
                <w:spacing w:val="17"/>
                <w:sz w:val="17"/>
                <w:szCs w:val="17"/>
                <w:highlight w:val="none"/>
              </w:rPr>
              <w:t xml:space="preserve">费</w:t>
            </w:r>
            <w:r>
              <w:rPr>
                <w:rFonts w:hint="eastAsia" w:ascii="宋体" w:hAnsi="宋体" w:eastAsia="宋体" w:cs="宋体"/>
                <w:color w:val="auto"/>
                <w:spacing w:val="10"/>
                <w:sz w:val="17"/>
                <w:szCs w:val="17"/>
                <w:highlight w:val="none"/>
              </w:rPr>
              <w:t xml:space="preserve">用500元每株。未补植到位或未成活的，每处扣1分。发现植株长势不良</w:t>
            </w:r>
            <w:r>
              <w:rPr>
                <w:rFonts w:hint="eastAsia" w:ascii="宋体" w:hAnsi="宋体" w:eastAsia="宋体" w:cs="宋体"/>
                <w:color w:val="auto"/>
                <w:spacing w:val="6"/>
                <w:sz w:val="17"/>
                <w:szCs w:val="17"/>
                <w:highlight w:val="none"/>
              </w:rPr>
              <w:t xml:space="preserve">的，每处扣1分</w:t>
            </w:r>
            <w:r>
              <w:rPr>
                <w:rFonts w:hint="eastAsia" w:ascii="宋体" w:hAnsi="宋体" w:eastAsia="宋体" w:cs="宋体"/>
                <w:color w:val="auto"/>
                <w:spacing w:val="4"/>
                <w:sz w:val="17"/>
                <w:szCs w:val="17"/>
                <w:highlight w:val="none"/>
              </w:rPr>
              <w:t xml:space="preserve">。</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1775"/>
        </w:trPr>
        <w:tc>
          <w:tcPr>
            <w:tcBorders>
              <w:left w:val="single" w:color="000000" w:sz="4" w:space="0"/>
              <w:right w:val="single" w:color="000000" w:sz="4" w:space="0"/>
            </w:tcBorders>
            <w:tcW w:w="572" w:type="dxa"/>
            <w:vAlign w:val="center"/>
            <w:textDirection w:val="lrTb"/>
            <w:noWrap w:val="false"/>
          </w:tcPr>
          <w:p>
            <w:pPr>
              <w:jc w:val="center"/>
              <w:spacing w:line="340" w:lineRule="auto"/>
              <w:rPr>
                <w:rFonts w:hint="eastAsia" w:ascii="宋体" w:hAnsi="宋体" w:eastAsia="宋体" w:cs="宋体"/>
                <w:color w:val="auto"/>
                <w:sz w:val="21"/>
                <w:highlight w:val="none"/>
              </w:rPr>
            </w:pPr>
            <w:r>
              <w:rPr>
                <w:rFonts w:hint="eastAsia" w:ascii="宋体" w:hAnsi="宋体" w:eastAsia="宋体" w:cs="宋体"/>
                <w:color w:val="auto"/>
                <w:spacing w:val="-5"/>
                <w:sz w:val="17"/>
                <w:szCs w:val="17"/>
                <w:highlight w:val="none"/>
              </w:rPr>
              <w:t xml:space="preserve">1</w:t>
            </w:r>
            <w:r>
              <w:rPr>
                <w:rFonts w:hint="eastAsia" w:ascii="宋体" w:hAnsi="宋体" w:eastAsia="宋体" w:cs="宋体"/>
                <w:color w:val="auto"/>
                <w:spacing w:val="-4"/>
                <w:sz w:val="17"/>
                <w:szCs w:val="17"/>
                <w:highlight w:val="none"/>
              </w:rPr>
              <w:t xml:space="preserve">0</w:t>
            </w:r>
            <w:r/>
          </w:p>
        </w:tc>
        <w:tc>
          <w:tcPr>
            <w:tcBorders>
              <w:left w:val="single" w:color="000000" w:sz="4" w:space="0"/>
              <w:right w:val="single" w:color="000000" w:sz="4" w:space="0"/>
            </w:tcBorders>
            <w:tcW w:w="768" w:type="dxa"/>
            <w:vAlign w:val="center"/>
            <w:textDirection w:val="lrTb"/>
            <w:noWrap w:val="false"/>
          </w:tcPr>
          <w:p>
            <w:pPr>
              <w:jc w:val="center"/>
              <w:spacing w:line="255" w:lineRule="auto"/>
              <w:rPr>
                <w:rFonts w:hint="eastAsia" w:ascii="宋体" w:hAnsi="宋体" w:eastAsia="宋体" w:cs="宋体"/>
                <w:color w:val="auto"/>
                <w:sz w:val="21"/>
                <w:highlight w:val="none"/>
              </w:rPr>
            </w:pPr>
            <w:r>
              <w:rPr>
                <w:rFonts w:hint="eastAsia" w:ascii="宋体" w:hAnsi="宋体" w:eastAsia="宋体" w:cs="宋体"/>
                <w:color w:val="auto"/>
                <w:spacing w:val="3"/>
                <w:sz w:val="17"/>
                <w:szCs w:val="17"/>
                <w:highlight w:val="none"/>
              </w:rPr>
              <w:t xml:space="preserve">其他</w:t>
            </w:r>
            <w:r/>
          </w:p>
        </w:tc>
        <w:tc>
          <w:tcPr>
            <w:tcBorders>
              <w:left w:val="single" w:color="000000" w:sz="4" w:space="0"/>
              <w:right w:val="single" w:color="000000" w:sz="4" w:space="0"/>
            </w:tcBorders>
            <w:tcW w:w="6852" w:type="dxa"/>
            <w:vAlign w:val="center"/>
            <w:textDirection w:val="lrTb"/>
            <w:noWrap w:val="false"/>
          </w:tcPr>
          <w:p>
            <w:pPr>
              <w:ind w:left="33" w:right="25" w:hanging="2"/>
              <w:jc w:val="both"/>
              <w:spacing w:before="73" w:line="304" w:lineRule="auto"/>
              <w:rPr>
                <w:rFonts w:hint="eastAsia" w:ascii="宋体" w:hAnsi="宋体" w:eastAsia="宋体" w:cs="宋体"/>
                <w:color w:val="auto"/>
                <w:sz w:val="17"/>
                <w:szCs w:val="17"/>
                <w:highlight w:val="none"/>
              </w:rPr>
            </w:pPr>
            <w:r>
              <w:rPr>
                <w:rFonts w:hint="eastAsia" w:ascii="宋体" w:hAnsi="宋体" w:eastAsia="宋体" w:cs="宋体"/>
                <w:color w:val="auto"/>
                <w:spacing w:val="20"/>
                <w:sz w:val="17"/>
                <w:szCs w:val="17"/>
                <w:highlight w:val="none"/>
              </w:rPr>
              <w:t xml:space="preserve">树</w:t>
            </w:r>
            <w:r>
              <w:rPr>
                <w:rFonts w:hint="eastAsia" w:ascii="宋体" w:hAnsi="宋体" w:eastAsia="宋体" w:cs="宋体"/>
                <w:color w:val="auto"/>
                <w:spacing w:val="12"/>
                <w:sz w:val="17"/>
                <w:szCs w:val="17"/>
                <w:highlight w:val="none"/>
              </w:rPr>
              <w:t xml:space="preserve">穴</w:t>
            </w:r>
            <w:r>
              <w:rPr>
                <w:rFonts w:hint="eastAsia" w:ascii="宋体" w:hAnsi="宋体" w:eastAsia="宋体" w:cs="宋体"/>
                <w:color w:val="auto"/>
                <w:spacing w:val="10"/>
                <w:sz w:val="17"/>
                <w:szCs w:val="17"/>
                <w:highlight w:val="none"/>
              </w:rPr>
              <w:t xml:space="preserve">、松土：独本乔灌木根部周围土壤松土，整修树穴并符合规范要求，树穴内无块状</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9"/>
                <w:sz w:val="17"/>
                <w:szCs w:val="17"/>
                <w:highlight w:val="none"/>
              </w:rPr>
              <w:t xml:space="preserve">土</w:t>
            </w:r>
            <w:r>
              <w:rPr>
                <w:rFonts w:hint="eastAsia" w:ascii="宋体" w:hAnsi="宋体" w:eastAsia="宋体" w:cs="宋体"/>
                <w:color w:val="auto"/>
                <w:spacing w:val="6"/>
                <w:sz w:val="17"/>
                <w:szCs w:val="17"/>
                <w:highlight w:val="none"/>
              </w:rPr>
              <w:t xml:space="preserve">和建筑垃圾。</w:t>
            </w:r>
            <w:r/>
          </w:p>
          <w:p>
            <w:pPr>
              <w:ind w:left="31" w:right="27"/>
              <w:jc w:val="both"/>
              <w:spacing w:before="1" w:line="303" w:lineRule="auto"/>
              <w:rPr>
                <w:rFonts w:hint="eastAsia" w:ascii="宋体" w:hAnsi="宋体" w:eastAsia="宋体" w:cs="宋体"/>
                <w:color w:val="auto"/>
                <w:sz w:val="17"/>
                <w:szCs w:val="17"/>
                <w:highlight w:val="none"/>
              </w:rPr>
            </w:pPr>
            <w:r>
              <w:rPr>
                <w:rFonts w:hint="eastAsia" w:ascii="宋体" w:hAnsi="宋体" w:eastAsia="宋体" w:cs="宋体"/>
                <w:color w:val="auto"/>
                <w:spacing w:val="10"/>
                <w:sz w:val="17"/>
                <w:szCs w:val="17"/>
                <w:highlight w:val="none"/>
              </w:rPr>
              <w:t xml:space="preserve">树木倾斜：绿地内树木无明显歪斜( 长期倾斜、规格较大、无倒伏危险、扶正困难或易</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8"/>
                <w:sz w:val="17"/>
                <w:szCs w:val="17"/>
                <w:highlight w:val="none"/>
              </w:rPr>
              <w:t xml:space="preserve">造</w:t>
            </w:r>
            <w:r>
              <w:rPr>
                <w:rFonts w:hint="eastAsia" w:ascii="宋体" w:hAnsi="宋体" w:eastAsia="宋体" w:cs="宋体"/>
                <w:color w:val="auto"/>
                <w:spacing w:val="9"/>
                <w:sz w:val="17"/>
                <w:szCs w:val="17"/>
                <w:highlight w:val="none"/>
              </w:rPr>
              <w:t xml:space="preserve">成衰亡的树木和造型树木除外)，歪斜树木在适宜季节扶正，支撑符合规范要求。</w:t>
            </w:r>
            <w:r/>
          </w:p>
          <w:p>
            <w:pPr>
              <w:jc w:val="both"/>
              <w:spacing w:line="372" w:lineRule="auto"/>
              <w:rPr>
                <w:rFonts w:hint="eastAsia" w:ascii="宋体" w:hAnsi="宋体" w:eastAsia="宋体" w:cs="宋体"/>
                <w:color w:val="auto"/>
                <w:sz w:val="21"/>
                <w:highlight w:val="none"/>
              </w:rPr>
            </w:pPr>
            <w:r>
              <w:rPr>
                <w:rFonts w:hint="eastAsia" w:ascii="宋体" w:hAnsi="宋体" w:eastAsia="宋体" w:cs="宋体"/>
                <w:color w:val="auto"/>
                <w:spacing w:val="14"/>
                <w:sz w:val="17"/>
                <w:szCs w:val="17"/>
                <w:highlight w:val="none"/>
              </w:rPr>
              <w:t xml:space="preserve">绿地环境</w:t>
            </w:r>
            <w:r>
              <w:rPr>
                <w:rFonts w:hint="eastAsia" w:ascii="宋体" w:hAnsi="宋体" w:eastAsia="宋体" w:cs="宋体"/>
                <w:color w:val="auto"/>
                <w:spacing w:val="10"/>
                <w:sz w:val="17"/>
                <w:szCs w:val="17"/>
                <w:highlight w:val="none"/>
              </w:rPr>
              <w:t xml:space="preserve">：</w:t>
            </w:r>
            <w:r>
              <w:rPr>
                <w:rFonts w:hint="eastAsia" w:ascii="宋体" w:hAnsi="宋体" w:eastAsia="宋体" w:cs="宋体"/>
                <w:color w:val="auto"/>
                <w:spacing w:val="7"/>
                <w:sz w:val="17"/>
                <w:szCs w:val="17"/>
                <w:highlight w:val="none"/>
              </w:rPr>
              <w:t xml:space="preserve">绿化养护范围内应无明显纸屑、石块、 白色垃圾、蜘蛛网等杂物，绿化垃圾</w:t>
            </w:r>
            <w:r>
              <w:rPr>
                <w:rFonts w:hint="eastAsia" w:ascii="宋体" w:hAnsi="宋体" w:eastAsia="宋体" w:cs="宋体"/>
                <w:color w:val="auto"/>
                <w:sz w:val="17"/>
                <w:szCs w:val="17"/>
                <w:highlight w:val="none"/>
              </w:rPr>
              <w:t xml:space="preserve"> </w:t>
            </w:r>
            <w:r>
              <w:rPr>
                <w:rFonts w:hint="eastAsia" w:ascii="宋体" w:hAnsi="宋体" w:eastAsia="宋体" w:cs="宋体"/>
                <w:color w:val="auto"/>
                <w:spacing w:val="11"/>
                <w:sz w:val="17"/>
                <w:szCs w:val="17"/>
                <w:highlight w:val="none"/>
              </w:rPr>
              <w:t xml:space="preserve">应</w:t>
            </w:r>
            <w:r>
              <w:rPr>
                <w:rFonts w:hint="eastAsia" w:ascii="宋体" w:hAnsi="宋体" w:eastAsia="宋体" w:cs="宋体"/>
                <w:color w:val="auto"/>
                <w:spacing w:val="9"/>
                <w:sz w:val="17"/>
                <w:szCs w:val="17"/>
                <w:highlight w:val="none"/>
              </w:rPr>
              <w:t xml:space="preserve">及时清除，应无明显落叶堆积、掉落枝条及时清理。</w:t>
            </w:r>
            <w:r/>
          </w:p>
        </w:tc>
        <w:tc>
          <w:tcPr>
            <w:tcBorders>
              <w:left w:val="single" w:color="000000" w:sz="4" w:space="0"/>
              <w:right w:val="single" w:color="000000" w:sz="4" w:space="0"/>
            </w:tcBorders>
            <w:tcW w:w="704" w:type="dxa"/>
            <w:vAlign w:val="center"/>
            <w:textDirection w:val="lrTb"/>
            <w:noWrap w:val="false"/>
          </w:tcPr>
          <w:p>
            <w:pPr>
              <w:jc w:val="center"/>
              <w:spacing w:line="315" w:lineRule="auto"/>
              <w:rPr>
                <w:rFonts w:hint="eastAsia" w:ascii="宋体" w:hAnsi="宋体" w:eastAsia="宋体" w:cs="宋体"/>
                <w:color w:val="auto"/>
                <w:sz w:val="21"/>
                <w:highlight w:val="none"/>
              </w:rPr>
            </w:pPr>
            <w:r>
              <w:rPr>
                <w:rFonts w:hint="eastAsia" w:ascii="宋体" w:hAnsi="宋体" w:eastAsia="宋体" w:cs="宋体"/>
                <w:color w:val="auto"/>
                <w:sz w:val="17"/>
                <w:szCs w:val="17"/>
                <w:highlight w:val="none"/>
              </w:rPr>
              <w:t xml:space="preserve">10分</w:t>
            </w:r>
            <w:r/>
          </w:p>
        </w:tc>
        <w:tc>
          <w:tcPr>
            <w:tcBorders>
              <w:left w:val="single" w:color="000000" w:sz="4" w:space="0"/>
            </w:tcBorders>
            <w:tcW w:w="6052" w:type="dxa"/>
            <w:vAlign w:val="center"/>
            <w:textDirection w:val="lrTb"/>
            <w:noWrap w:val="false"/>
          </w:tcPr>
          <w:p>
            <w:pPr>
              <w:jc w:val="both"/>
              <w:spacing w:line="43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7"/>
              <w:jc w:val="both"/>
              <w:spacing w:before="55" w:line="233" w:lineRule="auto"/>
              <w:rPr>
                <w:rFonts w:hint="eastAsia" w:ascii="宋体" w:hAnsi="宋体" w:eastAsia="宋体" w:cs="宋体"/>
                <w:color w:val="auto"/>
                <w:sz w:val="17"/>
                <w:szCs w:val="17"/>
                <w:highlight w:val="none"/>
              </w:rPr>
            </w:pPr>
            <w:r>
              <w:rPr>
                <w:rFonts w:hint="eastAsia" w:ascii="宋体" w:hAnsi="宋体" w:eastAsia="宋体" w:cs="宋体"/>
                <w:color w:val="auto"/>
                <w:spacing w:val="16"/>
                <w:sz w:val="17"/>
                <w:szCs w:val="17"/>
                <w:highlight w:val="none"/>
              </w:rPr>
              <w:t xml:space="preserve">未</w:t>
            </w:r>
            <w:r>
              <w:rPr>
                <w:rFonts w:hint="eastAsia" w:ascii="宋体" w:hAnsi="宋体" w:eastAsia="宋体" w:cs="宋体"/>
                <w:color w:val="auto"/>
                <w:spacing w:val="12"/>
                <w:sz w:val="17"/>
                <w:szCs w:val="17"/>
                <w:highlight w:val="none"/>
              </w:rPr>
              <w:t xml:space="preserve">及</w:t>
            </w:r>
            <w:r>
              <w:rPr>
                <w:rFonts w:hint="eastAsia" w:ascii="宋体" w:hAnsi="宋体" w:eastAsia="宋体" w:cs="宋体"/>
                <w:color w:val="auto"/>
                <w:spacing w:val="8"/>
                <w:sz w:val="17"/>
                <w:szCs w:val="17"/>
                <w:highlight w:val="none"/>
              </w:rPr>
              <w:t xml:space="preserve">时松土，树穴内有垃圾等问题的，每处扣1分。</w:t>
            </w:r>
            <w:r/>
          </w:p>
          <w:p>
            <w:pPr>
              <w:ind w:left="35"/>
              <w:jc w:val="both"/>
              <w:spacing w:before="63" w:line="281" w:lineRule="exact"/>
              <w:rPr>
                <w:rFonts w:hint="eastAsia" w:ascii="宋体" w:hAnsi="宋体" w:eastAsia="宋体" w:cs="宋体"/>
                <w:color w:val="auto"/>
                <w:sz w:val="17"/>
                <w:szCs w:val="17"/>
                <w:highlight w:val="none"/>
              </w:rPr>
            </w:pPr>
            <w:r>
              <w:rPr>
                <w:rFonts w:hint="eastAsia" w:ascii="宋体" w:hAnsi="宋体" w:eastAsia="宋体" w:cs="宋体"/>
                <w:color w:val="auto"/>
                <w:spacing w:val="16"/>
                <w:position w:val="7"/>
                <w:sz w:val="17"/>
                <w:szCs w:val="17"/>
                <w:highlight w:val="none"/>
              </w:rPr>
              <w:t xml:space="preserve">倾</w:t>
            </w:r>
            <w:r>
              <w:rPr>
                <w:rFonts w:hint="eastAsia" w:ascii="宋体" w:hAnsi="宋体" w:eastAsia="宋体" w:cs="宋体"/>
                <w:color w:val="auto"/>
                <w:spacing w:val="10"/>
                <w:position w:val="7"/>
                <w:sz w:val="17"/>
                <w:szCs w:val="17"/>
                <w:highlight w:val="none"/>
              </w:rPr>
              <w:t xml:space="preserve">斜</w:t>
            </w:r>
            <w:r>
              <w:rPr>
                <w:rFonts w:hint="eastAsia" w:ascii="宋体" w:hAnsi="宋体" w:eastAsia="宋体" w:cs="宋体"/>
                <w:color w:val="auto"/>
                <w:spacing w:val="8"/>
                <w:position w:val="7"/>
                <w:sz w:val="17"/>
                <w:szCs w:val="17"/>
                <w:highlight w:val="none"/>
              </w:rPr>
              <w:t xml:space="preserve">大于15度，支撑残缺，不符合要求的，每处扣1分。</w:t>
            </w:r>
            <w:r/>
          </w:p>
          <w:p>
            <w:pPr>
              <w:jc w:val="both"/>
              <w:spacing w:line="370" w:lineRule="auto"/>
              <w:rPr>
                <w:rFonts w:hint="eastAsia" w:ascii="宋体" w:hAnsi="宋体" w:eastAsia="宋体" w:cs="宋体"/>
                <w:color w:val="auto"/>
                <w:sz w:val="21"/>
                <w:highlight w:val="none"/>
              </w:rPr>
            </w:pPr>
            <w:r>
              <w:rPr>
                <w:rFonts w:hint="eastAsia" w:ascii="宋体" w:hAnsi="宋体" w:eastAsia="宋体" w:cs="宋体"/>
                <w:color w:val="auto"/>
                <w:spacing w:val="16"/>
                <w:sz w:val="17"/>
                <w:szCs w:val="17"/>
                <w:highlight w:val="none"/>
              </w:rPr>
              <w:t xml:space="preserve">绿</w:t>
            </w:r>
            <w:r>
              <w:rPr>
                <w:rFonts w:hint="eastAsia" w:ascii="宋体" w:hAnsi="宋体" w:eastAsia="宋体" w:cs="宋体"/>
                <w:color w:val="auto"/>
                <w:spacing w:val="13"/>
                <w:sz w:val="17"/>
                <w:szCs w:val="17"/>
                <w:highlight w:val="none"/>
              </w:rPr>
              <w:t xml:space="preserve">地</w:t>
            </w:r>
            <w:r>
              <w:rPr>
                <w:rFonts w:hint="eastAsia" w:ascii="宋体" w:hAnsi="宋体" w:eastAsia="宋体" w:cs="宋体"/>
                <w:color w:val="auto"/>
                <w:spacing w:val="8"/>
                <w:sz w:val="17"/>
                <w:szCs w:val="17"/>
                <w:highlight w:val="none"/>
              </w:rPr>
              <w:t xml:space="preserve">环境内发现垃圾等问题的，每处扣1分</w:t>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25"/>
        </w:trPr>
        <w:tc>
          <w:tcPr>
            <w:gridSpan w:val="3"/>
            <w:tcBorders>
              <w:left w:val="single" w:color="000000" w:sz="4" w:space="0"/>
              <w:right w:val="single" w:color="000000" w:sz="4" w:space="0"/>
            </w:tcBorders>
            <w:tcW w:w="8192" w:type="dxa"/>
            <w:vAlign w:val="center"/>
            <w:textDirection w:val="lrTb"/>
            <w:noWrap w:val="false"/>
          </w:tcPr>
          <w:p>
            <w:pPr>
              <w:ind w:left="33" w:right="25" w:hanging="2"/>
              <w:jc w:val="center"/>
              <w:spacing w:before="73" w:line="304" w:lineRule="auto"/>
              <w:rPr>
                <w:rFonts w:hint="eastAsia" w:ascii="宋体" w:hAnsi="宋体" w:eastAsia="宋体" w:cs="宋体"/>
                <w:color w:val="auto"/>
                <w:spacing w:val="20"/>
                <w:sz w:val="17"/>
                <w:szCs w:val="17"/>
                <w:highlight w:val="none"/>
              </w:rPr>
            </w:pPr>
            <w:r>
              <w:rPr>
                <w:rFonts w:hint="eastAsia" w:ascii="宋体" w:hAnsi="宋体" w:eastAsia="宋体" w:cs="宋体"/>
                <w:color w:val="auto"/>
                <w:spacing w:val="20"/>
                <w:sz w:val="17"/>
                <w:szCs w:val="17"/>
                <w:highlight w:val="none"/>
              </w:rPr>
              <w:t xml:space="preserve">总得分</w:t>
            </w:r>
            <w:r/>
          </w:p>
        </w:tc>
        <w:tc>
          <w:tcPr>
            <w:tcBorders>
              <w:left w:val="single" w:color="000000" w:sz="4" w:space="0"/>
              <w:right w:val="single" w:color="000000" w:sz="4" w:space="0"/>
            </w:tcBorders>
            <w:tcW w:w="704" w:type="dxa"/>
            <w:textDirection w:val="lrTb"/>
            <w:noWrap w:val="false"/>
          </w:tcPr>
          <w:p>
            <w:pPr>
              <w:spacing w:line="3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left w:val="single" w:color="000000" w:sz="4" w:space="0"/>
            </w:tcBorders>
            <w:tcW w:w="6052" w:type="dxa"/>
            <w:textDirection w:val="lrTb"/>
            <w:noWrap w:val="false"/>
          </w:tcPr>
          <w:p>
            <w:pPr>
              <w:spacing w:line="43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84"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ind w:left="6"/>
        <w:spacing w:before="152" w:line="231" w:lineRule="auto"/>
        <w:rPr>
          <w:rFonts w:hint="eastAsia" w:ascii="宋体" w:hAnsi="宋体" w:eastAsia="宋体" w:cs="宋体"/>
          <w:color w:val="auto"/>
          <w:spacing w:val="-1"/>
          <w:sz w:val="20"/>
          <w:highlight w:val="none"/>
        </w:rPr>
      </w:pPr>
      <w:r>
        <w:rPr>
          <w:rFonts w:hint="eastAsia" w:ascii="宋体" w:hAnsi="宋体" w:eastAsia="宋体" w:cs="宋体"/>
          <w:color w:val="auto"/>
          <w:spacing w:val="-1"/>
          <w:sz w:val="20"/>
          <w:highlight w:val="none"/>
        </w:rPr>
      </w:r>
      <w:r/>
    </w:p>
    <w:p>
      <w:pPr>
        <w:ind w:left="6"/>
        <w:spacing w:before="152" w:line="231" w:lineRule="auto"/>
        <w:rPr>
          <w:rFonts w:hint="eastAsia" w:ascii="宋体" w:hAnsi="宋体" w:eastAsia="宋体" w:cs="宋体"/>
          <w:color w:val="auto"/>
          <w:spacing w:val="-1"/>
          <w:sz w:val="20"/>
          <w:highlight w:val="none"/>
        </w:rPr>
      </w:pPr>
      <w:r>
        <w:rPr>
          <w:rFonts w:hint="eastAsia" w:ascii="宋体" w:hAnsi="宋体" w:eastAsia="宋体" w:cs="宋体"/>
          <w:color w:val="auto"/>
          <w:spacing w:val="-1"/>
          <w:sz w:val="20"/>
          <w:highlight w:val="none"/>
        </w:rPr>
        <w:t xml:space="preserve">考核人：                                                                         </w:t>
      </w:r>
      <w:r>
        <w:rPr>
          <w:rFonts w:hint="eastAsia" w:ascii="宋体" w:hAnsi="宋体" w:eastAsia="宋体" w:cs="宋体"/>
          <w:color w:val="auto"/>
          <w:sz w:val="20"/>
          <w:highlight w:val="none"/>
        </w:rPr>
        <w:t xml:space="preserve">    考核时间:</w:t>
      </w:r>
      <w:r/>
    </w:p>
    <w:p>
      <w:pP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pacing w:val="-1"/>
          <w:sz w:val="20"/>
          <w:highlight w:val="none"/>
        </w:rPr>
        <w:t xml:space="preserve">考核人：                                                                         </w:t>
      </w:r>
      <w:r>
        <w:rPr>
          <w:rFonts w:hint="eastAsia" w:ascii="宋体" w:hAnsi="宋体" w:eastAsia="宋体" w:cs="宋体"/>
          <w:color w:val="auto"/>
          <w:sz w:val="20"/>
          <w:highlight w:val="none"/>
        </w:rPr>
        <w:t xml:space="preserve">    考核时间:</w:t>
      </w:r>
      <w:r/>
    </w:p>
    <w:p>
      <w:pPr>
        <w:pStyle w:val="1005"/>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5"/>
        <w:jc w:val="center"/>
        <w:spacing w:before="0" w:after="0" w:line="360" w:lineRule="auto"/>
        <w:rPr>
          <w:rFonts w:hint="eastAsia" w:ascii="宋体" w:hAnsi="宋体" w:eastAsia="宋体" w:cs="宋体"/>
          <w:color w:val="auto"/>
          <w:sz w:val="32"/>
          <w:szCs w:val="32"/>
          <w:highlight w:val="none"/>
        </w:rPr>
        <w:sectPr>
          <w:footnotePr/>
          <w:endnotePr/>
          <w:type w:val="nextPage"/>
          <w:pgSz w:w="16838" w:h="11906" w:orient="landscape"/>
          <w:pgMar w:top="1803" w:right="1440" w:bottom="1803" w:left="1440" w:header="680" w:footer="737" w:gutter="0"/>
          <w:cols w:num="1" w:sep="0" w:space="0" w:equalWidth="1"/>
          <w:docGrid w:linePitch="360"/>
          <w:titlePg/>
        </w:sectPr>
      </w:pPr>
      <w:r>
        <w:rPr>
          <w:rFonts w:hint="eastAsia" w:ascii="宋体" w:hAnsi="宋体" w:eastAsia="宋体" w:cs="宋体"/>
          <w:color w:val="auto"/>
          <w:sz w:val="32"/>
          <w:szCs w:val="32"/>
          <w:highlight w:val="none"/>
        </w:rPr>
      </w:r>
      <w:r/>
    </w:p>
    <w:p>
      <w:pPr>
        <w:pStyle w:val="1005"/>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018"/>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2、投标人应按标段准备投标文件并清楚注明标段名称,否则造成的一切后果由投标人自行承担。</w:t>
      </w:r>
      <w:r>
        <w:rPr>
          <w:rFonts w:hint="eastAsia" w:ascii="宋体" w:hAnsi="宋体" w:eastAsia="宋体" w:cs="宋体"/>
          <w:color w:val="auto"/>
          <w:sz w:val="32"/>
          <w:szCs w:val="32"/>
          <w:highlight w:val="none"/>
        </w:rPr>
        <w:br w:type="page" w:clear="all"/>
      </w:r>
      <w:bookmarkStart w:id="108" w:name="_Toc256175382"/>
      <w:r/>
      <w:bookmarkStart w:id="109" w:name="_Toc237145385"/>
      <w:r/>
      <w:bookmarkStart w:id="110" w:name="_Toc217446085"/>
      <w:r/>
      <w:bookmarkStart w:id="111" w:name="_Toc263768864"/>
      <w:r/>
      <w:bookmarkStart w:id="112" w:name="_Toc250041691"/>
      <w:r/>
      <w:bookmarkStart w:id="113" w:name="_Toc297204985"/>
      <w:r/>
      <w:bookmarkStart w:id="114" w:name="_Toc263753600"/>
      <w:r/>
      <w:r/>
    </w:p>
    <w:p>
      <w:pPr>
        <w:jc w:val="right"/>
        <w:spacing w:line="360" w:lineRule="auto"/>
        <w:rPr>
          <w:rFonts w:hint="eastAsia" w:ascii="宋体" w:hAnsi="宋体" w:eastAsia="宋体" w:cs="宋体"/>
          <w:b/>
          <w:bCs/>
          <w:color w:val="auto"/>
          <w:sz w:val="52"/>
          <w:szCs w:val="52"/>
          <w:highlight w:val="none"/>
        </w:rPr>
      </w:pPr>
      <w:r/>
      <w:bookmarkStart w:id="115" w:name="_Toc13296_WPSOffice_Level1"/>
      <w:r/>
      <w:bookmarkStart w:id="116" w:name="_Toc217446086"/>
      <w:r/>
      <w:r/>
    </w:p>
    <w:p>
      <w:pPr>
        <w:jc w:val="left"/>
        <w:tabs>
          <w:tab w:val="center" w:pos="4210" w:leader="none"/>
          <w:tab w:val="left" w:pos="7541" w:leader="none"/>
        </w:tabs>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left"/>
        <w:tabs>
          <w:tab w:val="center" w:pos="4210" w:leader="none"/>
          <w:tab w:val="left" w:pos="7541" w:leader="none"/>
        </w:tabs>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ab/>
      </w:r>
      <w:r>
        <w:rPr>
          <w:rFonts w:hint="eastAsia" w:ascii="宋体" w:hAnsi="宋体" w:eastAsia="宋体" w:cs="宋体"/>
          <w:bCs/>
          <w:color w:val="auto"/>
          <w:sz w:val="52"/>
          <w:szCs w:val="52"/>
          <w:highlight w:val="none"/>
        </w:rPr>
        <w:t xml:space="preserve">投</w:t>
      </w:r>
      <w:bookmarkEnd w:id="115"/>
      <w:r>
        <w:rPr>
          <w:rFonts w:hint="eastAsia" w:ascii="宋体" w:hAnsi="宋体" w:eastAsia="宋体" w:cs="宋体"/>
          <w:bCs/>
          <w:color w:val="auto"/>
          <w:sz w:val="52"/>
          <w:szCs w:val="52"/>
          <w:highlight w:val="none"/>
        </w:rPr>
        <w:tab/>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117" w:name="_Toc677_WPSOffice_Level1"/>
      <w:r>
        <w:rPr>
          <w:rFonts w:hint="eastAsia" w:ascii="宋体" w:hAnsi="宋体" w:eastAsia="宋体" w:cs="宋体"/>
          <w:bCs/>
          <w:color w:val="auto"/>
          <w:sz w:val="52"/>
          <w:szCs w:val="52"/>
          <w:highlight w:val="none"/>
        </w:rPr>
        <w:t xml:space="preserve">标</w:t>
      </w:r>
      <w:bookmarkEnd w:id="11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118" w:name="_Toc2949_WPSOffice_Level1"/>
      <w:r>
        <w:rPr>
          <w:rFonts w:hint="eastAsia" w:ascii="宋体" w:hAnsi="宋体" w:eastAsia="宋体" w:cs="宋体"/>
          <w:bCs/>
          <w:color w:val="auto"/>
          <w:sz w:val="52"/>
          <w:szCs w:val="52"/>
          <w:highlight w:val="none"/>
        </w:rPr>
        <w:t xml:space="preserve">文</w:t>
      </w:r>
      <w:bookmarkEnd w:id="118"/>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119" w:name="_Toc31964_WPSOffice_Level1"/>
      <w:r>
        <w:rPr>
          <w:rFonts w:hint="eastAsia" w:ascii="宋体" w:hAnsi="宋体" w:eastAsia="宋体" w:cs="宋体"/>
          <w:bCs/>
          <w:color w:val="auto"/>
          <w:sz w:val="52"/>
          <w:szCs w:val="52"/>
          <w:highlight w:val="none"/>
        </w:rPr>
        <w:t xml:space="preserve">件</w:t>
      </w:r>
      <w:bookmarkEnd w:id="119"/>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120" w:name="_Toc1060_WPSOffice_Level1"/>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w:t>
      </w:r>
      <w:bookmarkEnd w:id="120"/>
      <w:r/>
      <w:r/>
    </w:p>
    <w:p>
      <w:pPr>
        <w:spacing w:line="360" w:lineRule="auto"/>
        <w:rPr>
          <w:rFonts w:hint="eastAsia" w:ascii="宋体" w:hAnsi="宋体" w:eastAsia="宋体" w:cs="宋体"/>
          <w:bCs/>
          <w:color w:val="auto"/>
          <w:sz w:val="28"/>
          <w:szCs w:val="28"/>
          <w:highlight w:val="none"/>
        </w:rPr>
      </w:pPr>
      <w:r/>
      <w:bookmarkStart w:id="121" w:name="_Toc7891_WPSOffice_Level1"/>
      <w:r>
        <w:rPr>
          <w:rFonts w:hint="eastAsia" w:ascii="宋体" w:hAnsi="宋体" w:eastAsia="宋体" w:cs="宋体"/>
          <w:bCs/>
          <w:color w:val="auto"/>
          <w:sz w:val="28"/>
          <w:szCs w:val="28"/>
          <w:highlight w:val="none"/>
        </w:rPr>
        <w:t xml:space="preserve">采购项目名称：</w:t>
      </w:r>
      <w:bookmarkEnd w:id="121"/>
      <w:r/>
      <w:bookmarkStart w:id="122" w:name="_Toc13794_WPSOffice_Level1"/>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标段号：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投标人（加盖CA电子公章）：</w:t>
      </w:r>
      <w:bookmarkEnd w:id="122"/>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123" w:name="_Toc4431_WPSOffice_Level1"/>
      <w:r>
        <w:rPr>
          <w:rFonts w:hint="eastAsia" w:ascii="宋体" w:hAnsi="宋体" w:eastAsia="宋体" w:cs="宋体"/>
          <w:bCs/>
          <w:color w:val="auto"/>
          <w:sz w:val="36"/>
          <w:szCs w:val="36"/>
          <w:highlight w:val="none"/>
        </w:rPr>
        <w:t xml:space="preserve">   年  月  日</w:t>
      </w:r>
      <w:bookmarkEnd w:id="123"/>
      <w:r/>
      <w:r/>
    </w:p>
    <w:p>
      <w:pPr>
        <w:pStyle w:val="1005"/>
        <w:jc w:val="center"/>
        <w:keepLines w:val="0"/>
        <w:keepNext w:val="0"/>
        <w:widowControl/>
        <w:rPr>
          <w:rStyle w:val="1063"/>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1005"/>
        <w:jc w:val="center"/>
        <w:keepLines w:val="0"/>
        <w:keepNext w:val="0"/>
        <w:widowControl/>
        <w:rPr>
          <w:rFonts w:hint="eastAsia" w:ascii="宋体" w:hAnsi="宋体" w:eastAsia="宋体" w:cs="宋体"/>
          <w:color w:val="auto"/>
          <w:highlight w:val="none"/>
        </w:rPr>
      </w:pPr>
      <w:r>
        <w:rPr>
          <w:rStyle w:val="1063"/>
          <w:rFonts w:hint="eastAsia" w:ascii="宋体" w:hAnsi="宋体" w:eastAsia="宋体" w:cs="宋体"/>
          <w:b w:val="0"/>
          <w:color w:val="auto"/>
          <w:highlight w:val="none"/>
        </w:rPr>
        <w:t xml:space="preserve">开标一览表</w:t>
      </w:r>
      <w:r/>
    </w:p>
    <w:p>
      <w:pPr>
        <w:pStyle w:val="1005"/>
        <w:jc w:val="center"/>
        <w:keepLines w:val="0"/>
        <w:keepNext w:val="0"/>
        <w:widowControl/>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（参考格式，以苏采云系统格式为准）</w:t>
      </w:r>
      <w:r/>
    </w:p>
    <w:p>
      <w:pPr>
        <w:pStyle w:val="1052"/>
        <w:rPr>
          <w:rFonts w:hint="eastAsia" w:eastAsia="宋体"/>
          <w:color w:val="auto"/>
          <w:sz w:val="27"/>
          <w:szCs w:val="27"/>
          <w:highlight w:val="none"/>
        </w:rPr>
      </w:pPr>
      <w:r>
        <w:rPr>
          <w:rFonts w:hint="eastAsia" w:eastAsia="宋体"/>
          <w:color w:val="auto"/>
          <w:sz w:val="27"/>
          <w:szCs w:val="27"/>
          <w:highlight w:val="none"/>
        </w:rPr>
        <w:t xml:space="preserve">项目编号： </w:t>
      </w:r>
      <w:r/>
    </w:p>
    <w:p>
      <w:pPr>
        <w:pStyle w:val="1052"/>
        <w:rPr>
          <w:rFonts w:hint="eastAsia" w:eastAsia="宋体"/>
          <w:color w:val="auto"/>
          <w:sz w:val="27"/>
          <w:szCs w:val="27"/>
          <w:highlight w:val="none"/>
        </w:rPr>
      </w:pPr>
      <w:r>
        <w:rPr>
          <w:rFonts w:hint="eastAsia" w:eastAsia="宋体"/>
          <w:color w:val="auto"/>
          <w:sz w:val="27"/>
          <w:szCs w:val="27"/>
          <w:highlight w:val="none"/>
        </w:rPr>
        <w:t xml:space="preserve">货币单位：人民币元</w:t>
      </w:r>
      <w:r/>
    </w:p>
    <w:tbl>
      <w:tblPr>
        <w:tblStyle w:val="809"/>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52"/>
              <w:rPr>
                <w:rFonts w:hint="eastAsia" w:eastAsia="宋体"/>
                <w:color w:val="auto"/>
                <w:sz w:val="22"/>
                <w:szCs w:val="22"/>
                <w:highlight w:val="none"/>
              </w:rPr>
            </w:pPr>
            <w:r>
              <w:rPr>
                <w:rFonts w:hint="eastAsia" w:eastAsia="宋体"/>
                <w:color w:val="auto"/>
                <w:sz w:val="27"/>
                <w:szCs w:val="27"/>
                <w:highlight w:val="none"/>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shd w:val="clear" w:color="auto" w:fill="ffffff"/>
              </w:rPr>
              <w:fldChar w:fldCharType="begin"/>
            </w:r>
            <w:r>
              <w:rPr>
                <w:rFonts w:hint="eastAsia" w:eastAsia="宋体"/>
                <w:color w:val="auto"/>
                <w:sz w:val="27"/>
                <w:szCs w:val="27"/>
                <w:highlight w:val="none"/>
                <w:shd w:val="clear" w:color="auto" w:fill="ffffff"/>
              </w:rPr>
              <w:instrText xml:space="preserve"> CONTROL Forms.HTML:Text.1 \s </w:instrText>
            </w:r>
            <w:r>
              <w:rPr>
                <w:rFonts w:hint="eastAsia" w:eastAsia="宋体"/>
                <w:color w:val="auto"/>
                <w:sz w:val="27"/>
                <w:szCs w:val="27"/>
                <w:highlight w:val="none"/>
                <w:shd w:val="clear" w:color="auto" w:fill="ffffff"/>
              </w:rPr>
              <w:fldChar w:fldCharType="separate"/>
            </w:r>
            <w:r>
              <w:rPr>
                <w:rFonts w:hint="eastAsia" w:eastAsia="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6" o:title=""/>
                    </v:shape>
                  </w:pict>
                </mc:Fallback>
              </mc:AlternateContent>
            </w:r>
            <w:r>
              <w:rPr>
                <w:rFonts w:hint="eastAsia" w:eastAsia="宋体"/>
                <w:color w:val="auto"/>
                <w:sz w:val="27"/>
                <w:szCs w:val="27"/>
                <w:highlight w:val="none"/>
                <w:shd w:val="clear" w:color="auto" w:fill="ffffff"/>
              </w:rPr>
              <w:fldChar w:fldCharType="end"/>
            </w:r>
            <w:r>
              <w:rPr>
                <w:rFonts w:hint="eastAsia" w:eastAsia="宋体"/>
                <w:color w:val="auto"/>
                <w:sz w:val="27"/>
                <w:szCs w:val="27"/>
                <w:highlight w:val="none"/>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052"/>
              <w:rPr>
                <w:rFonts w:hint="eastAsia" w:eastAsia="宋体"/>
                <w:color w:val="auto"/>
                <w:highlight w:val="none"/>
              </w:rPr>
            </w:pPr>
            <w:r>
              <w:rPr>
                <w:rFonts w:hint="eastAsia" w:eastAsia="宋体"/>
                <w:color w:val="auto"/>
                <w:sz w:val="27"/>
                <w:szCs w:val="27"/>
                <w:highlight w:val="none"/>
              </w:rPr>
              <w:t xml:space="preserve">金额大写 </w:t>
            </w:r>
            <w:r/>
          </w:p>
        </w:tc>
      </w:tr>
    </w:tbl>
    <w:p>
      <w:pPr>
        <w:pStyle w:val="1052"/>
        <w:rPr>
          <w:rFonts w:hint="eastAsia" w:eastAsia="宋体"/>
          <w:color w:val="auto"/>
          <w:sz w:val="27"/>
          <w:szCs w:val="27"/>
          <w:highlight w:val="none"/>
        </w:rPr>
      </w:pPr>
      <w:r>
        <w:rPr>
          <w:rFonts w:hint="eastAsia" w:eastAsia="宋体"/>
          <w:color w:val="auto"/>
          <w:sz w:val="27"/>
          <w:szCs w:val="27"/>
          <w:highlight w:val="none"/>
        </w:rPr>
      </w:r>
      <w:r/>
    </w:p>
    <w:p>
      <w:pPr>
        <w:pStyle w:val="1052"/>
        <w:rPr>
          <w:rFonts w:hint="eastAsia" w:eastAsia="宋体"/>
          <w:color w:val="auto"/>
          <w:sz w:val="27"/>
          <w:szCs w:val="27"/>
          <w:highlight w:val="none"/>
        </w:rPr>
      </w:pPr>
      <w:r>
        <w:rPr>
          <w:rFonts w:hint="eastAsia" w:eastAsia="宋体"/>
          <w:color w:val="auto"/>
          <w:sz w:val="27"/>
          <w:szCs w:val="27"/>
          <w:highlight w:val="none"/>
        </w:rPr>
      </w:r>
      <w:r/>
    </w:p>
    <w:p>
      <w:pPr>
        <w:pStyle w:val="1052"/>
        <w:rPr>
          <w:rFonts w:hint="eastAsia" w:eastAsia="宋体"/>
          <w:color w:val="auto"/>
          <w:sz w:val="27"/>
          <w:szCs w:val="27"/>
          <w:highlight w:val="none"/>
        </w:rPr>
      </w:pPr>
      <w:r>
        <w:rPr>
          <w:rFonts w:hint="eastAsia" w:eastAsia="宋体"/>
          <w:color w:val="auto"/>
          <w:sz w:val="27"/>
          <w:szCs w:val="27"/>
          <w:highlight w:val="none"/>
        </w:rPr>
      </w:r>
      <w:r/>
    </w:p>
    <w:p>
      <w:pPr>
        <w:ind w:firstLine="54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7"/>
          <w:szCs w:val="27"/>
          <w:highlight w:val="none"/>
        </w:rPr>
        <w:t xml:space="preserve">投标人公章：（电子签章）</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bookmarkEnd w:id="116"/>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7"/>
        <w:ind w:left="0"/>
        <w:spacing w:after="0" w:line="400" w:lineRule="exac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泰州市海陵区人民政府京泰路街道办事处</w:t>
      </w:r>
      <w:r>
        <w:rPr>
          <w:rFonts w:hint="eastAsia" w:ascii="宋体" w:hAnsi="宋体" w:eastAsia="宋体" w:cs="宋体"/>
          <w:bCs/>
          <w:iCs/>
          <w:color w:val="auto"/>
          <w:sz w:val="24"/>
          <w:szCs w:val="24"/>
          <w:highlight w:val="none"/>
        </w:rPr>
        <w:t xml:space="preserve">：</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037"/>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39"/>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pStyle w:val="1139"/>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4、我们同意按照招标文件中的规定，本投标书的有效期限为自投标截止之日起60天。</w:t>
      </w:r>
      <w:r/>
    </w:p>
    <w:p>
      <w:pPr>
        <w:pStyle w:val="1139"/>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5、我们愿意提供招标采购单位在招标文件中要求的所有资料。</w:t>
      </w:r>
      <w:r/>
    </w:p>
    <w:p>
      <w:pPr>
        <w:pStyle w:val="1139"/>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6、我们愿意遵守招标文件中所列的收费标准。</w:t>
      </w:r>
      <w:r/>
    </w:p>
    <w:p>
      <w:pPr>
        <w:pStyle w:val="1139"/>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7、我们承诺该项投标在开标后的全过程中保持有效，不作任何更改和变动。</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3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泰州市海陵区人民政府京泰路街道办事处</w:t>
      </w:r>
      <w:r>
        <w:rPr>
          <w:rFonts w:hint="eastAsia" w:ascii="宋体" w:hAnsi="宋体" w:eastAsia="宋体" w:cs="宋体"/>
          <w:bCs/>
          <w:iCs/>
          <w:color w:val="auto"/>
          <w:sz w:val="24"/>
          <w:szCs w:val="24"/>
          <w:highlight w:val="none"/>
        </w:rPr>
        <w:t xml:space="preserve">：</w:t>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4"/>
          <w:highlight w:val="none"/>
        </w:rPr>
        <w:t xml:space="preserve">我公司（单位）参加本次项目（</w:t>
      </w:r>
      <w:r>
        <w:rPr>
          <w:rFonts w:hint="eastAsia" w:ascii="宋体" w:hAnsi="宋体" w:eastAsia="宋体" w:cs="宋体"/>
          <w:color w:val="auto"/>
          <w:sz w:val="24"/>
          <w:szCs w:val="24"/>
          <w:highlight w:val="none"/>
          <w:lang w:eastAsia="zh-CN"/>
        </w:rPr>
        <w:t xml:space="preserve">JSZC-321202-JXCG-G2025-0106</w:t>
      </w:r>
      <w:r>
        <w:rPr>
          <w:rFonts w:hint="eastAsia" w:ascii="宋体" w:hAnsi="宋体" w:eastAsia="宋体" w:cs="宋体"/>
          <w:color w:val="auto"/>
          <w:sz w:val="24"/>
          <w:szCs w:val="24"/>
          <w:highlight w:val="none"/>
        </w:rPr>
        <w:t xml:space="preserve">）政府采购活动前三年内，在经营活动中没有重大违法记录，我公司（单位）愿针对本次项目（</w:t>
      </w:r>
      <w:r>
        <w:rPr>
          <w:rFonts w:hint="eastAsia" w:ascii="宋体" w:hAnsi="宋体" w:eastAsia="宋体" w:cs="宋体"/>
          <w:color w:val="auto"/>
          <w:sz w:val="24"/>
          <w:szCs w:val="24"/>
          <w:highlight w:val="none"/>
          <w:lang w:eastAsia="zh-CN"/>
        </w:rPr>
        <w:t xml:space="preserve">JSZC-321202-JXCG-G2025-0106</w:t>
      </w:r>
      <w:r>
        <w:rPr>
          <w:rFonts w:hint="eastAsia" w:ascii="宋体" w:hAnsi="宋体" w:eastAsia="宋体" w:cs="宋体"/>
          <w:color w:val="auto"/>
          <w:sz w:val="24"/>
          <w:szCs w:val="24"/>
          <w:highlight w:val="none"/>
        </w:rPr>
        <w:t xml:space="preserve">）进行投标，投标文件中所有关于投标资格的文件、证明、陈述均是真实的、准确的。若有违背，我</w:t>
      </w:r>
      <w:r>
        <w:rPr>
          <w:rFonts w:hint="eastAsia" w:ascii="宋体" w:hAnsi="宋体" w:eastAsia="宋体" w:cs="宋体"/>
          <w:color w:val="auto"/>
          <w:sz w:val="24"/>
          <w:szCs w:val="24"/>
          <w:highlight w:val="none"/>
          <w:u w:val="single"/>
        </w:rPr>
        <w:t xml:space="preserve">公司（单位）</w:t>
      </w:r>
      <w:r>
        <w:rPr>
          <w:rFonts w:hint="eastAsia" w:ascii="宋体" w:hAnsi="宋体" w:eastAsia="宋体" w:cs="宋体"/>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124"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124"/>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hAnsi="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参加政府采购活动前三年内在经营活动中没有重大违法记录的书面声明</w:t>
      </w:r>
      <w:r/>
    </w:p>
    <w:p>
      <w:pPr>
        <w:pStyle w:val="1138"/>
        <w:ind w:firstLine="0"/>
        <w:jc w:val="center"/>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jc w:val="both"/>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firstLine="48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400" w:lineRule="exact"/>
        <w:rPr>
          <w:rFonts w:hint="eastAsia" w:ascii="宋体" w:hAnsi="宋体" w:eastAsia="宋体" w:cs="宋体"/>
          <w:color w:val="auto"/>
          <w:sz w:val="24"/>
          <w:szCs w:val="24"/>
          <w:highlight w:val="none"/>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30"/>
          <w:szCs w:val="30"/>
          <w:highlight w:val="none"/>
        </w:rPr>
        <w:t xml:space="preserve">具有履行合同所必需的设备和专业技术能力的书面声明</w:t>
      </w:r>
      <w:r/>
    </w:p>
    <w:p>
      <w:pPr>
        <w:pStyle w:val="1028"/>
        <w:ind w:left="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主要设备有：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主要专业技术能力有：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jc w:val="both"/>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spacing w:line="113"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color w:val="auto"/>
          <w:sz w:val="24"/>
          <w:szCs w:val="24"/>
          <w:highlight w:val="none"/>
        </w:rPr>
        <w:t xml:space="preserve">日期：</w:t>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61"/>
        <w:ind w:firstLine="480"/>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line="360" w:lineRule="auto"/>
        <w:rPr>
          <w:rFonts w:hint="eastAsia" w:ascii="宋体" w:hAnsi="宋体" w:eastAsia="宋体" w:cs="宋体"/>
          <w:b/>
          <w:bCs/>
          <w:color w:val="auto"/>
          <w:sz w:val="30"/>
          <w:szCs w:val="30"/>
          <w:highlight w:val="none"/>
        </w:rPr>
        <w:outlineLvl w:val="4"/>
      </w:pPr>
      <w:r>
        <w:rPr>
          <w:rFonts w:hint="eastAsia" w:ascii="宋体" w:hAnsi="宋体" w:eastAsia="宋体" w:cs="宋体"/>
          <w:b/>
          <w:bCs/>
          <w:color w:val="auto"/>
          <w:sz w:val="30"/>
          <w:szCs w:val="30"/>
          <w:highlight w:val="none"/>
        </w:rPr>
        <w:t xml:space="preserve">法定代表人身份证明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手机（必填）：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right="480" w:firstLine="480"/>
        <w:jc w:val="lef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lef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注：需提供法定代表人身份证扫描件（正反面）</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法定代表人授权委托书</w:t>
      </w:r>
      <w:r/>
    </w:p>
    <w:p>
      <w:pPr>
        <w:pStyle w:val="101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1018"/>
        <w:ind w:firstLine="0"/>
        <w:rPr>
          <w:rFonts w:hint="eastAsia" w:ascii="宋体" w:hAnsi="宋体" w:eastAsia="宋体" w:cs="宋体"/>
          <w:color w:val="auto"/>
          <w:szCs w:val="24"/>
          <w:highlight w:val="none"/>
        </w:rPr>
      </w:pPr>
      <w:r>
        <w:rPr>
          <w:rFonts w:hint="eastAsia" w:ascii="宋体" w:hAnsi="宋体" w:eastAsia="宋体" w:cs="宋体"/>
          <w:bCs/>
          <w:iCs/>
          <w:color w:val="auto"/>
          <w:szCs w:val="24"/>
          <w:highlight w:val="none"/>
          <w:u w:val="single"/>
        </w:rPr>
        <w:t xml:space="preserve">泰州市海陵区人民政府京泰路街道办事处</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lang w:eastAsia="zh-CN"/>
        </w:rPr>
        <w:t xml:space="preserve">JSZC-321202-JXCG-G2025-0106</w:t>
      </w:r>
      <w:r>
        <w:rPr>
          <w:rFonts w:hint="eastAsia" w:ascii="宋体" w:hAnsi="宋体" w:eastAsia="宋体" w:cs="宋体"/>
          <w:bCs/>
          <w:color w:val="auto"/>
          <w:sz w:val="24"/>
          <w:highlight w:val="none"/>
        </w:rPr>
        <w:t xml:space="preserve">）的投标、参与开标、签约等具体工作，并签署全部有关的文件、协议及合同。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1018"/>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18"/>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101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8"/>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018"/>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注：需同时提供法定代表人和被授权人身份证扫描件（正反面）。</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28"/>
          <w:highlight w:val="none"/>
          <w:u w:val="single"/>
        </w:rPr>
        <w:br w:type="page" w:clear="all"/>
      </w:r>
      <w:bookmarkEnd w:id="108"/>
      <w:r/>
      <w:bookmarkEnd w:id="109"/>
      <w:r/>
      <w:bookmarkEnd w:id="110"/>
      <w:r/>
      <w:bookmarkEnd w:id="111"/>
      <w:r/>
      <w:bookmarkEnd w:id="112"/>
      <w:r/>
      <w:bookmarkEnd w:id="113"/>
      <w:r/>
      <w:bookmarkEnd w:id="114"/>
      <w:r>
        <w:rPr>
          <w:rFonts w:hint="eastAsia" w:ascii="宋体" w:hAnsi="宋体" w:eastAsia="宋体" w:cs="宋体"/>
          <w:b/>
          <w:color w:val="auto"/>
          <w:spacing w:val="20"/>
          <w:sz w:val="30"/>
          <w:szCs w:val="30"/>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cs="宋体"/>
          <w:color w:val="auto"/>
          <w:sz w:val="24"/>
          <w:szCs w:val="24"/>
          <w:highlight w:val="none"/>
          <w:lang w:eastAsia="zh-CN"/>
        </w:rPr>
        <w:t xml:space="preserve">JSZC-321202-JXCG-G2025-0106</w:t>
      </w:r>
      <w:r>
        <w:rPr>
          <w:rFonts w:hint="eastAsia" w:ascii="宋体" w:hAnsi="宋体" w:eastAsia="宋体" w:cs="宋体"/>
          <w:color w:val="auto"/>
          <w:sz w:val="24"/>
          <w:szCs w:val="24"/>
          <w:highlight w:val="none"/>
        </w:rPr>
        <w:t xml:space="preserve">）所提供的服务不低于采购文件要求的标准。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2.本公司（单位）具备履行合同所必需的专业技术能力。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3.本公司未被列入“信用中国”网站（www.creditchina.gov.cn）失信被执行人名单、重大税收违法失信主体和中国政府采购网（www.ccgp.gov.cn）政府采购严重违法失信行为记录名单。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4.我单位承诺响应招标文件所有内容。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3"/>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Cs/>
          <w:color w:val="auto"/>
          <w:sz w:val="24"/>
          <w:highlight w:val="none"/>
        </w:rPr>
        <w:t xml:space="preserve">日    期：</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0"/>
          <w:szCs w:val="30"/>
          <w:highlight w:val="none"/>
        </w:rPr>
        <w:outlineLvl w:val="0"/>
      </w:pPr>
      <w:r/>
      <w:bookmarkStart w:id="125" w:name="_Toc22881_WPSOffice_Level1"/>
      <w:r/>
      <w:bookmarkStart w:id="126" w:name="_Toc22143_WPSOffice_Level1"/>
      <w:r/>
      <w:bookmarkStart w:id="127" w:name="_Toc32173"/>
      <w:r/>
      <w:bookmarkStart w:id="128" w:name="_Toc1623_WPSOffice_Level1"/>
      <w:r>
        <w:rPr>
          <w:rFonts w:hint="eastAsia" w:ascii="宋体" w:hAnsi="宋体" w:eastAsia="宋体" w:cs="宋体"/>
          <w:b/>
          <w:bCs/>
          <w:color w:val="auto"/>
          <w:sz w:val="30"/>
          <w:szCs w:val="30"/>
          <w:highlight w:val="none"/>
        </w:rPr>
        <w:t xml:space="preserve">商务偏离表</w:t>
      </w:r>
      <w:bookmarkEnd w:id="125"/>
      <w:r/>
      <w:bookmarkEnd w:id="126"/>
      <w:r/>
      <w:bookmarkEnd w:id="127"/>
      <w:r/>
      <w:bookmarkEnd w:id="128"/>
      <w:r/>
      <w:r/>
    </w:p>
    <w:tbl>
      <w:tblPr>
        <w:tblStyle w:val="80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09"/>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52"/>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jc w:val="center"/>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b/>
          <w:color w:val="auto"/>
          <w:spacing w:val="-4"/>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1033"/>
        <w:rPr>
          <w:rFonts w:hint="eastAsia" w:hAnsi="宋体" w:eastAsia="宋体" w:cs="宋体"/>
          <w:color w:val="auto"/>
          <w:highlight w:val="none"/>
        </w:rPr>
      </w:pPr>
      <w:r>
        <w:rPr>
          <w:rFonts w:hint="eastAsia" w:hAnsi="宋体" w:eastAsia="宋体" w:cs="宋体"/>
          <w:color w:val="auto"/>
          <w:sz w:val="24"/>
          <w:szCs w:val="24"/>
          <w:highlight w:val="none"/>
        </w:rPr>
        <w:t xml:space="preserve">（备注：1、参照《关于印发中小企业划型标准规定的通知》（工信部联企业【2011】300号）文件，</w:t>
      </w:r>
      <w:bookmarkStart w:id="129" w:name="OLE_LINK6"/>
      <w:r>
        <w:rPr>
          <w:rFonts w:hint="eastAsia" w:hAnsi="宋体" w:eastAsia="宋体" w:cs="宋体"/>
          <w:color w:val="auto"/>
          <w:sz w:val="24"/>
          <w:szCs w:val="24"/>
          <w:highlight w:val="none"/>
        </w:rPr>
        <w:t xml:space="preserve">本项目所属行业为</w:t>
      </w:r>
      <w:r>
        <w:rPr>
          <w:rFonts w:hint="eastAsia" w:hAnsi="宋体" w:eastAsia="宋体" w:cs="宋体"/>
          <w:b/>
          <w:bCs/>
          <w:color w:val="auto"/>
          <w:sz w:val="24"/>
          <w:szCs w:val="24"/>
          <w:highlight w:val="none"/>
          <w:u w:val="single"/>
        </w:rPr>
        <w:t xml:space="preserve">其他未列明行业</w:t>
      </w:r>
      <w:bookmarkEnd w:id="129"/>
      <w:r>
        <w:rPr>
          <w:rFonts w:hint="eastAsia" w:hAnsi="宋体" w:eastAsia="宋体" w:cs="宋体"/>
          <w:color w:val="auto"/>
          <w:sz w:val="24"/>
          <w:szCs w:val="24"/>
          <w:highlight w:val="none"/>
        </w:rPr>
        <w:t xml:space="preserve">。2、请如实填写属于中型企业或小型企业或微型企业。3、从业人员、营业收入、资产总额填报上一年度数据，无上一年度数据的新成立企业可不填报。）</w:t>
      </w:r>
      <w:r>
        <w:rPr>
          <w:rFonts w:hint="eastAsia"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（备注：中标供应商为残疾人福利单位的，此声明函将随中标结果同时公告，接受社会监督）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业绩一览表</w:t>
      </w:r>
      <w:r/>
    </w:p>
    <w:p>
      <w:pPr>
        <w:spacing w:line="360" w:lineRule="auto"/>
        <w:rPr>
          <w:rFonts w:hint="eastAsia" w:ascii="宋体" w:hAnsi="宋体" w:eastAsia="宋体" w:cs="宋体"/>
          <w:color w:val="auto"/>
          <w:sz w:val="11"/>
          <w:highlight w:val="none"/>
        </w:rPr>
      </w:pPr>
      <w:r>
        <w:rPr>
          <w:rFonts w:hint="eastAsia" w:ascii="宋体" w:hAnsi="宋体" w:eastAsia="宋体" w:cs="宋体"/>
          <w:color w:val="auto"/>
          <w:sz w:val="11"/>
          <w:highlight w:val="none"/>
        </w:rPr>
      </w:r>
      <w:r/>
    </w:p>
    <w:tbl>
      <w:tblPr>
        <w:tblStyle w:val="809"/>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实施时间</w:t>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业主联系人</w:t>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13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15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20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104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96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如有需要说明的事项，请在备注中列明。</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b/>
          <w:color w:val="auto"/>
          <w:spacing w:val="20"/>
          <w:sz w:val="24"/>
          <w:szCs w:val="22"/>
          <w:highlight w:val="none"/>
        </w:rPr>
      </w:pPr>
      <w:r>
        <w:rPr>
          <w:rFonts w:hint="eastAsia" w:ascii="宋体" w:hAnsi="宋体" w:eastAsia="宋体" w:cs="宋体"/>
          <w:b/>
          <w:color w:val="auto"/>
          <w:spacing w:val="20"/>
          <w:sz w:val="24"/>
          <w:szCs w:val="22"/>
          <w:highlight w:val="none"/>
        </w:rPr>
      </w:r>
      <w:r/>
    </w:p>
    <w:p>
      <w:pPr>
        <w:jc w:val="center"/>
        <w:rPr>
          <w:rFonts w:hint="eastAsia" w:ascii="宋体" w:hAnsi="宋体" w:eastAsia="宋体" w:cs="宋体"/>
          <w:color w:val="auto"/>
          <w:sz w:val="24"/>
          <w:highlight w:val="none"/>
          <w:u w:val="single"/>
        </w:rPr>
      </w:pPr>
      <w:r>
        <w:rPr>
          <w:rFonts w:hint="eastAsia" w:ascii="宋体" w:hAnsi="宋体" w:eastAsia="宋体" w:cs="宋体"/>
          <w:b/>
          <w:color w:val="auto"/>
          <w:spacing w:val="20"/>
          <w:sz w:val="30"/>
          <w:szCs w:val="30"/>
          <w:highlight w:val="none"/>
        </w:rPr>
        <w:t xml:space="preserve">本项目服务人员配备表</w:t>
      </w:r>
      <w:r/>
    </w:p>
    <w:tbl>
      <w:tblPr>
        <w:tblStyle w:val="809"/>
        <w:tblpPr w:horzAnchor="margin" w:tblpXSpec="left" w:vertAnchor="page" w:tblpY="1924" w:leftFromText="180" w:topFromText="0" w:rightFromText="180" w:bottomFromText="0"/>
        <w:tblW w:w="8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类别</w:t>
            </w:r>
            <w:r/>
          </w:p>
        </w:tc>
        <w:tc>
          <w:tcPr>
            <w:tcW w:w="12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年龄</w:t>
            </w:r>
            <w:r/>
          </w:p>
        </w:tc>
        <w:tc>
          <w:tcPr>
            <w:tcW w:w="15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职称或</w:t>
            </w:r>
            <w:r/>
          </w:p>
          <w:p>
            <w:pPr>
              <w:jc w:val="center"/>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技术资格</w:t>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社保</w:t>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项目负责人</w:t>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w:t>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9"/>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w:t>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67"/>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73"/>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567"/>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cantSplit/>
          <w:trHeight w:val="271"/>
        </w:trPr>
        <w:tc>
          <w:tcPr>
            <w:tcW w:w="85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259"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992"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1576"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c>
          <w:tcPr>
            <w:tcW w:w="2104" w:type="dxa"/>
            <w:vAlign w:val="center"/>
            <w:textDirection w:val="lrTb"/>
            <w:noWrap w:val="false"/>
          </w:tcPr>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tc>
      </w:tr>
      <w:tr>
        <w:trPr>
          <w:trHeight w:val="3049"/>
        </w:trPr>
        <w:tc>
          <w:tcPr>
            <w:gridSpan w:val="6"/>
            <w:tcW w:w="8346" w:type="dxa"/>
            <w:vAlign w:val="center"/>
            <w:textDirection w:val="lrTb"/>
            <w:noWrap w:val="false"/>
          </w:tcPr>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5520"/>
              <w:rPr>
                <w:rFonts w:hint="eastAsia" w:ascii="宋体" w:hAnsi="宋体" w:eastAsia="宋体" w:cs="宋体"/>
                <w:color w:val="auto"/>
                <w:sz w:val="36"/>
                <w:highlight w:val="none"/>
              </w:rPr>
            </w:pPr>
            <w:r>
              <w:rPr>
                <w:rFonts w:hint="eastAsia" w:ascii="宋体" w:hAnsi="宋体" w:eastAsia="宋体" w:cs="宋体"/>
                <w:color w:val="auto"/>
                <w:sz w:val="24"/>
                <w:highlight w:val="none"/>
              </w:rPr>
              <w:t xml:space="preserve">年   月    日</w:t>
            </w:r>
            <w:r/>
          </w:p>
        </w:tc>
      </w:tr>
    </w:tbl>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注：1.社保栏应填写“已缴”或“未缴”，未填写的视同未缴。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2.投标人不按实填写本表的，以弄虚作假处理。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widowControl/>
        <w:rPr>
          <w:rFonts w:hint="eastAsia" w:ascii="宋体" w:hAnsi="宋体" w:eastAsia="宋体" w:cs="宋体"/>
          <w:b/>
          <w:bCs/>
          <w:i w:val="0"/>
          <w:iCs w:val="0"/>
          <w:color w:val="auto"/>
          <w:sz w:val="32"/>
          <w:szCs w:val="32"/>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投标报价汇总表</w:t>
      </w:r>
      <w:r/>
    </w:p>
    <w:p>
      <w:pPr>
        <w:jc w:val="left"/>
        <w:keepLines w:val="0"/>
        <w:keepNext w:val="0"/>
        <w:widowControl/>
        <w:rPr>
          <w:rFonts w:hint="default" w:ascii="宋体" w:hAnsi="宋体" w:eastAsia="宋体" w:cs="宋体"/>
          <w:b/>
          <w:bCs/>
          <w:i w:val="0"/>
          <w:iCs w:val="0"/>
          <w:color w:val="auto"/>
          <w:sz w:val="32"/>
          <w:szCs w:val="32"/>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项目名称：园区街道道路和区域绿化养护（一标段）</w:t>
      </w:r>
      <w:r/>
    </w:p>
    <w:tbl>
      <w:tblPr>
        <w:tblStyle w:val="809"/>
        <w:tblW w:w="8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2"/>
        <w:gridCol w:w="5214"/>
        <w:gridCol w:w="2497"/>
      </w:tblGrid>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2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单位工程名称</w:t>
            </w:r>
            <w:r/>
          </w:p>
        </w:tc>
        <w:tc>
          <w:tcPr>
            <w:shd w:val="clear" w:color="auto" w:fill="auto"/>
            <w:tcBorders>
              <w:top w:val="single" w:color="000000" w:sz="8" w:space="0"/>
              <w:left w:val="single" w:color="000000" w:sz="4" w:space="0"/>
              <w:bottom w:val="single" w:color="000000" w:sz="4" w:space="0"/>
              <w:right w:val="single" w:color="000000" w:sz="4" w:space="0"/>
            </w:tcBorders>
            <w:tcW w:w="24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金额(元)</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兴泰路游园</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前进河游园（养护）</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泰顺路和济川路交叉口西南角游园（养护）</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鹏欣领誉三期售楼处西侧游园（养护）</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东泰花园南门游园</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小区垂直绿化</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永吉花园</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京泰路派出所</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春兰和运河路交叉口游园</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济川南侧、润东花苑西侧桥口绿化</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唐沟</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SPARK南侧</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前进河游园（栽植）</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泰顺路和济川路交叉口西南角游园（栽植）</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鹏欣领誉三期售楼处西侧游园（栽植）</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不可预见费</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180000</w:t>
            </w:r>
            <w:r/>
          </w:p>
        </w:tc>
      </w:tr>
      <w:tr>
        <w:trPr>
          <w:jc w:val="center"/>
          <w:trHeight w:val="567"/>
        </w:trPr>
        <w:tc>
          <w:tcPr>
            <w:gridSpan w:val="2"/>
            <w:shd w:val="clear" w:color="auto" w:fill="auto"/>
            <w:tcBorders>
              <w:top w:val="single" w:color="000000" w:sz="4" w:space="0"/>
              <w:left w:val="single" w:color="000000" w:sz="8" w:space="0"/>
              <w:bottom w:val="single" w:color="000000" w:sz="4" w:space="0"/>
              <w:right w:val="single" w:color="000000" w:sz="4" w:space="0"/>
            </w:tcBorders>
            <w:tcW w:w="62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color w:val="auto"/>
          <w:highlight w:val="none"/>
        </w:rPr>
      </w:pPr>
      <w:r>
        <w:rPr>
          <w:color w:val="auto"/>
          <w:highlight w:val="none"/>
        </w:rPr>
      </w:r>
      <w:r/>
    </w:p>
    <w:p>
      <w:pPr>
        <w:rPr>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注：不可预见费不可调整，否则作无效响应处理。</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9"/>
        <w:gridCol w:w="1371"/>
        <w:gridCol w:w="1070"/>
        <w:gridCol w:w="2462"/>
        <w:gridCol w:w="474"/>
        <w:gridCol w:w="222"/>
        <w:gridCol w:w="903"/>
        <w:gridCol w:w="1615"/>
        <w:gridCol w:w="793"/>
        <w:gridCol w:w="786"/>
      </w:tblGrid>
      <w:tr>
        <w:trPr>
          <w:jc w:val="center"/>
          <w:trHeight w:val="577"/>
        </w:trPr>
        <w:tc>
          <w:tcPr>
            <w:gridSpan w:val="10"/>
            <w:shd w:val="clear" w:color="auto" w:fill="auto"/>
            <w:tcBorders>
              <w:top w:val="none" w:color="000000" w:sz="4" w:space="0"/>
              <w:left w:val="none" w:color="000000" w:sz="4" w:space="0"/>
              <w:bottom w:val="none" w:color="000000" w:sz="4" w:space="0"/>
              <w:right w:val="none" w:color="000000" w:sz="4" w:space="0"/>
            </w:tcBorders>
            <w:tcW w:w="102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30"/>
                <w:szCs w:val="30"/>
                <w:highlight w:val="none"/>
                <w:u w:val="none"/>
                <w:lang w:val="en-US" w:eastAsia="zh-CN" w:bidi="ar"/>
              </w:rPr>
              <w:t xml:space="preserve">分部分项全费用综合单价投标明细表</w:t>
            </w:r>
            <w:r/>
          </w:p>
        </w:tc>
      </w:tr>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86"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1.养护区域：兴泰路游园</w:t>
            </w:r>
            <w:r/>
          </w:p>
        </w:tc>
        <w:tc>
          <w:tcPr>
            <w:gridSpan w:val="4"/>
            <w:shd w:val="clear" w:color="auto" w:fill="auto"/>
            <w:tcBorders>
              <w:top w:val="none" w:color="000000" w:sz="4" w:space="0"/>
              <w:left w:val="none" w:color="000000" w:sz="4" w:space="0"/>
              <w:bottom w:val="none" w:color="000000" w:sz="4" w:space="0"/>
              <w:right w:val="none" w:color="000000" w:sz="4" w:space="0"/>
            </w:tcBorders>
            <w:tcW w:w="353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86" w:type="dxa"/>
            <w:vAlign w:val="bottom"/>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540"/>
        </w:trPr>
        <w:tc>
          <w:tcPr>
            <w:shd w:val="clear" w:color="auto" w:fill="auto"/>
            <w:tcBorders>
              <w:top w:val="single" w:color="000000" w:sz="4" w:space="0"/>
              <w:left w:val="single" w:color="000000" w:sz="8" w:space="0"/>
              <w:bottom w:val="single" w:color="000000" w:sz="4" w:space="0"/>
              <w:right w:val="single" w:color="000000" w:sz="4" w:space="0"/>
            </w:tcBorders>
            <w:tcW w:w="50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兴泰路游园</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1.苗木种类:重阳木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2.苗木规格:冠径≥220，高度≥200，全冠优美，特选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2.苗木规格:胸径30cm，冠径450-550cm，高度650-700cm，树形优美，特选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2.苗木规格:胸径15cm，冠径400-450cm，高度450-500cm，树形优美，特选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2.苗木规格:胸径30cm，冠径450-550cm，高度650-700cm，全冠,自然状,保留三级以上分支，树型优美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2.苗木规格:胸径13cm，冠径300-350cm，高度500-550cm，全冠,自然状,保留三级以上分支，树型优美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2.苗木规格:胸径30cm，冠径450-550cm，高度650-700cm，全冠,树形优美，特选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1.苗木种类:金枝垂柳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2.苗木规格:冠径≥150，光球，球形饱满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2.苗木规格:冠径≥130，光球，球形饱满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1.苗木种类:枫香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2.苗木规格:胸径18cm，冠径450-500cm，高度500-550cm，全冠,自然状,保留三级以上分支，树型优美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2.苗木规格:冠径≥120，光球，球形饱满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2.苗木规格:胸径15cm，冠径400-450cm，高度450-500cm，全冠,自然状,保留三级以上分支，树型优美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2.苗木规格:冠径≥130，光球，球形饱满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1.苗木种类:腊梅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2.苗木规格:地径10cm，冠径≥250，伞型冠，树型饱满，姿态优美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2.苗木规格:冠径≥200，全冠，树型饱满，姿态优美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2.苗木规格:地径8cm，四川红，全冠，树形饱满，姿态优美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1.苗木种类:美人蕉（花叶）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2.苗木规格:5-6芽/丛，25株/平方，红色花，黄色花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1.苗木种类:千屈草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2.苗木规格:2-3支/丛，36丛/平方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2.苗木规格:高度20-25cm，蓬径20-25cm，49株/平方,盆栽苗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1.苗木种类:柳叶马鞭草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2.苗木规格:10-12寸盆苗，25株/平方，容器苗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1.苗木种类:千屈菜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2.苗木规格:2-3支/丛，36丛/平方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1.苗木种类:彩叶杞柳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2.苗木规格:高度60，3-3支/丛，49丛/平方，容器苗，三年生以上大苗，不短截修平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1.苗木种类:矮蒲苇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2.苗木规格:40-50支/丛，8丛/平方，容器苗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1.苗木种类:花叶芦竹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2.苗木规格:5-7芽/丛，6-9丛/平方，容器苗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2.苗木规格：冠径15cm，49丛/平方,每丛5芽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1.苗木种类:常绿水生鸢尾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2.苗木规格:2-3芽/丛，49丛/平方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2.苗木规格:高度25-30，49丛/平方，每丛5芽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1.苗木种类:二月兰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2.苗木规格:3-5芽/丛，64丛/平方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1.苗木种类:火焰狼尾草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2.苗木规格:16盆/平方米,2加仑容器苗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2.苗木规格:3-5芽/丛，36丛/平方，容器苗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2.苗木规格:高度30-35，蓬径30-35，49株/平方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1.苗木种类:粉黛乱子草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2.苗木规格:30-40支/丛，25从/平方米,容器苗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1.苗木种类:熊掌木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2.苗木规格:高度20-25，蓬径15-20，49株/平方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1.苗木种类:常夏石竹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2.苗木规格:高度15，64株/平方，盆栽容器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1.苗木种类:常绿水生鸢尾（多色）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2.苗木规格:2-3芽/丛，49丛/平方,路易斯安娜鸢尾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1.苗木种类:美人蕉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2.苗木规格:高度40-60，蓬径30-35，25从/平方米,5-6芽/丛，红色花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2.苗木规格:高度30-35，蓬径20-25，容器苗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2.苗木规格:高度16-20，蓬径18-20，盆栽容器大丛苗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2.苗木规格:高度30-35，蓬径20-25，49株/平方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570.2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1.苗木种类:龟甲冬青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2.苗木规格:高度30-35，蓬径20-25，49株/平方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2.苗木规格:49盆/平方，盆栽容器大丛苗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614.5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2.苗木规格:高度30-35，蓬径20-25，49株/平方，容器苗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2.苗木规格:高度15，64株/平方，盆栽容器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642.9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2.苗木规格:高度20-30，蓬径20-25，49丛/平方，每丛5芽，容器苗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2.苗木规格:高度10-12，81丛/平方，容器苗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1.苗木种类:金娃娃萱草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2.苗木规格:高度20-25，蓬径20-25，每丛5芽，容器苗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819.2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1.苗木种类:小丑火棘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2.苗木规格：盆栽容器，49盆/m2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1.苗木种类:德国鸢尾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2.苗木规格:高度30-35，蓬径20-30，49丛/平方,每丛5芽，黄色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2.苗木规格:高度20-25，蓬径20-25，每丛5芽，容器苗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2.苗木规格:高度25-30，蓬径25-30，容器苗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2.苗木规格:3-5芽/丛，64丛/平方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3505.5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48467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0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中嘉装饰城（兴泰路）</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62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371"/>
        <w:gridCol w:w="1069"/>
        <w:gridCol w:w="2600"/>
        <w:gridCol w:w="508"/>
        <w:gridCol w:w="101"/>
        <w:gridCol w:w="728"/>
        <w:gridCol w:w="1592"/>
        <w:gridCol w:w="172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06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2.养护区域：前进河游园（养护）</w:t>
            </w:r>
            <w:r/>
          </w:p>
        </w:tc>
        <w:tc>
          <w:tcPr>
            <w:gridSpan w:val="4"/>
            <w:shd w:val="clear" w:color="auto" w:fill="auto"/>
            <w:tcBorders>
              <w:top w:val="none" w:color="000000" w:sz="4" w:space="0"/>
              <w:left w:val="none" w:color="000000" w:sz="4" w:space="0"/>
              <w:bottom w:val="none" w:color="000000" w:sz="4" w:space="0"/>
              <w:right w:val="none" w:color="000000" w:sz="4" w:space="0"/>
            </w:tcBorders>
            <w:tcW w:w="414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1.种类:染井吉野樱A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1.种类:木芙蓉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2.蓬径:≥120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1.种类:朴树A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1.种类:五角枫A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1.种类:紫玉兰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2.株高、冠径:H：300cm，P：250cm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3.株高、冠径:H：250-300cm，P：200-250cm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1.种类:垂丝海棠A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3.株高、冠径:H：200-250cm，P：200-250cm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1.种类:无刺枸骨球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1.种类:腊梅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2.蓬径:≥180cm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1.种类:茶花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2.蓬径:≥130cm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2.篱高:H=20-25cm,P=20-25cm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2.篱高:小毛球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1.种类:亮晶女贞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1.花卉种类:兰花三七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2.株高或蓬径:H=15cm,P=10cm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1.花卉种类:常绿萱草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2.株高或蓬径:H=20cm,P=10cm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2.篱高:25-30cm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3.行数、蓬径:20-25cm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3.行数、蓬径:20cm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1.种类：水果篮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1.花卉种类:花叶玉簪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2.株高或蓬径:H=20cm,P=15cm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3.行数、蓬径:15cm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2.篱高:H=20cm,P=15cm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1.种类:欧月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2.篱高:H=40cm,P=25cm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48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26"/>
        <w:gridCol w:w="2445"/>
        <w:gridCol w:w="625"/>
        <w:gridCol w:w="736"/>
        <w:gridCol w:w="1690"/>
        <w:gridCol w:w="1690"/>
      </w:tblGrid>
      <w:tr>
        <w:trPr>
          <w:jc w:val="center"/>
          <w:trHeight w:val="681"/>
        </w:trPr>
        <w:tc>
          <w:tcPr>
            <w:gridSpan w:val="8"/>
            <w:shd w:val="clear" w:color="auto" w:fill="auto"/>
            <w:tcBorders>
              <w:top w:val="none" w:color="000000" w:sz="4" w:space="0"/>
              <w:left w:val="none" w:color="000000" w:sz="4" w:space="0"/>
              <w:bottom w:val="none" w:color="000000" w:sz="4" w:space="0"/>
              <w:right w:val="none" w:color="000000" w:sz="4" w:space="0"/>
            </w:tcBorders>
            <w:tcW w:w="1020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3.养护区域：泰顺路和济川路交叉口西南角游园（养护）</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2.苗木规格:高度250cm以内，双排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1.种类:小叶女贞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1.种类:金边黄杨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7"/>
            <w:shd w:val="clear" w:color="auto" w:fill="auto"/>
            <w:tcBorders>
              <w:top w:val="single" w:color="000000" w:sz="4" w:space="0"/>
              <w:left w:val="single" w:color="000000" w:sz="4" w:space="0"/>
              <w:bottom w:val="single" w:color="000000" w:sz="4" w:space="0"/>
              <w:right w:val="single" w:color="000000" w:sz="4" w:space="0"/>
            </w:tcBorders>
            <w:tcW w:w="85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00"/>
        <w:gridCol w:w="1183"/>
        <w:gridCol w:w="2435"/>
        <w:gridCol w:w="537"/>
        <w:gridCol w:w="110"/>
        <w:gridCol w:w="756"/>
        <w:gridCol w:w="1623"/>
        <w:gridCol w:w="1624"/>
      </w:tblGrid>
      <w:tr>
        <w:trPr>
          <w:jc w:val="center"/>
          <w:trHeight w:val="681"/>
        </w:trPr>
        <w:tc>
          <w:tcPr>
            <w:gridSpan w:val="5"/>
            <w:shd w:val="clear" w:color="auto" w:fill="auto"/>
            <w:tcBorders>
              <w:top w:val="none" w:color="000000" w:sz="4" w:space="0"/>
              <w:left w:val="none" w:color="000000" w:sz="4" w:space="0"/>
              <w:bottom w:val="none" w:color="000000" w:sz="4" w:space="0"/>
              <w:right w:val="none" w:color="000000" w:sz="4" w:space="0"/>
            </w:tcBorders>
            <w:tcW w:w="609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4.养护区域：鹏欣领誉三期售楼处西侧游园（养护）</w:t>
            </w:r>
            <w:r/>
          </w:p>
        </w:tc>
        <w:tc>
          <w:tcPr>
            <w:gridSpan w:val="4"/>
            <w:shd w:val="clear" w:color="auto" w:fill="auto"/>
            <w:tcBorders>
              <w:top w:val="none" w:color="000000" w:sz="4" w:space="0"/>
              <w:left w:val="none" w:color="000000" w:sz="4" w:space="0"/>
              <w:bottom w:val="none" w:color="000000" w:sz="4" w:space="0"/>
              <w:right w:val="none" w:color="000000" w:sz="4" w:space="0"/>
            </w:tcBorders>
            <w:tcW w:w="411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迎春东路-海曙路</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1.苗木种类:柏树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1.种类:金边黄杨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50102005003</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1.苗木种类:八角金盘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50102005004</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海曙路—育才路</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1.苗木种类:柏树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1.苗木种类:柳树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1.种类:金边黄杨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1.苗木种类:八角金盘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50102005006</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9"/>
        </w:trPr>
        <w:tc>
          <w:tcPr>
            <w:gridSpan w:val="8"/>
            <w:shd w:val="clear" w:color="auto" w:fill="auto"/>
            <w:tcBorders>
              <w:top w:val="single" w:color="000000" w:sz="4" w:space="0"/>
              <w:left w:val="single" w:color="000000" w:sz="4" w:space="0"/>
              <w:bottom w:val="single" w:color="000000" w:sz="4" w:space="0"/>
              <w:right w:val="single" w:color="000000" w:sz="4" w:space="0"/>
            </w:tcBorders>
            <w:tcW w:w="858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8"/>
        <w:gridCol w:w="1371"/>
        <w:gridCol w:w="1108"/>
        <w:gridCol w:w="2491"/>
        <w:gridCol w:w="516"/>
        <w:gridCol w:w="104"/>
        <w:gridCol w:w="741"/>
        <w:gridCol w:w="1678"/>
        <w:gridCol w:w="1678"/>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004"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5.养护区域：东泰花园南门游园</w:t>
            </w:r>
            <w:r/>
          </w:p>
        </w:tc>
        <w:tc>
          <w:tcPr>
            <w:gridSpan w:val="4"/>
            <w:shd w:val="clear" w:color="auto" w:fill="auto"/>
            <w:tcBorders>
              <w:top w:val="none" w:color="000000" w:sz="4" w:space="0"/>
              <w:left w:val="none" w:color="000000" w:sz="4" w:space="0"/>
              <w:bottom w:val="none" w:color="000000" w:sz="4" w:space="0"/>
              <w:right w:val="none" w:color="000000" w:sz="4" w:space="0"/>
            </w:tcBorders>
            <w:tcW w:w="4201"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1.苗木种类:杨柳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1.苗木种类:腊梅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1.苗木种类:铁树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1.花卉种类:常绿萱草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2.株高或蓬径:H=20cm,P=10cm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1.花卉种类:南天竹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2.株高或蓬径:H=20cm,P=10cm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12"/>
        </w:trPr>
        <w:tc>
          <w:tcPr>
            <w:gridSpan w:val="8"/>
            <w:shd w:val="clear" w:color="auto" w:fill="auto"/>
            <w:tcBorders>
              <w:top w:val="single" w:color="000000" w:sz="4" w:space="0"/>
              <w:left w:val="single" w:color="000000" w:sz="4" w:space="0"/>
              <w:bottom w:val="single" w:color="000000" w:sz="4" w:space="0"/>
              <w:right w:val="single" w:color="000000" w:sz="4" w:space="0"/>
            </w:tcBorders>
            <w:tcW w:w="85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1371"/>
        <w:gridCol w:w="1155"/>
        <w:gridCol w:w="2284"/>
        <w:gridCol w:w="525"/>
        <w:gridCol w:w="108"/>
        <w:gridCol w:w="740"/>
        <w:gridCol w:w="1748"/>
        <w:gridCol w:w="1749"/>
      </w:tblGrid>
      <w:tr>
        <w:trPr>
          <w:jc w:val="center"/>
          <w:trHeight w:val="474"/>
        </w:trPr>
        <w:tc>
          <w:tcPr>
            <w:gridSpan w:val="5"/>
            <w:shd w:val="clear" w:color="auto" w:fill="auto"/>
            <w:tcBorders>
              <w:top w:val="none" w:color="000000" w:sz="4" w:space="0"/>
              <w:left w:val="none" w:color="000000" w:sz="4" w:space="0"/>
              <w:bottom w:val="single" w:color="000000" w:sz="8" w:space="0"/>
              <w:right w:val="none" w:color="000000" w:sz="4" w:space="0"/>
            </w:tcBorders>
            <w:tcW w:w="5860"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6.养护区域：小区垂直绿化</w:t>
            </w:r>
            <w:r/>
          </w:p>
        </w:tc>
        <w:tc>
          <w:tcPr>
            <w:gridSpan w:val="4"/>
            <w:shd w:val="clear" w:color="auto" w:fill="auto"/>
            <w:tcBorders>
              <w:top w:val="none" w:color="000000" w:sz="4" w:space="0"/>
              <w:left w:val="none" w:color="000000" w:sz="4" w:space="0"/>
              <w:bottom w:val="single" w:color="000000" w:sz="8" w:space="0"/>
              <w:right w:val="none" w:color="000000" w:sz="4" w:space="0"/>
            </w:tcBorders>
            <w:tcW w:w="434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8"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8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06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1.苗木种类:藤本月季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w:t>
            </w:r>
            <w:r/>
          </w:p>
        </w:tc>
        <w:tc>
          <w:tcPr>
            <w:shd w:val="clear" w:color="auto" w:fill="auto"/>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81"/>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1.苗木种类:黄花风车茉莉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8" w:space="0"/>
              <w:bottom w:val="single" w:color="000000" w:sz="8" w:space="0"/>
              <w:right w:val="single" w:color="000000" w:sz="4" w:space="0"/>
            </w:tcBorders>
            <w:tcW w:w="84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74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371"/>
        <w:gridCol w:w="1146"/>
        <w:gridCol w:w="2323"/>
        <w:gridCol w:w="523"/>
        <w:gridCol w:w="107"/>
        <w:gridCol w:w="739"/>
        <w:gridCol w:w="1736"/>
        <w:gridCol w:w="1736"/>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87"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7.养护区域：永吉花园</w:t>
            </w:r>
            <w:r/>
          </w:p>
        </w:tc>
        <w:tc>
          <w:tcPr>
            <w:gridSpan w:val="4"/>
            <w:shd w:val="clear" w:color="auto" w:fill="auto"/>
            <w:tcBorders>
              <w:top w:val="none" w:color="000000" w:sz="4" w:space="0"/>
              <w:left w:val="none" w:color="000000" w:sz="4" w:space="0"/>
              <w:bottom w:val="none" w:color="000000" w:sz="4" w:space="0"/>
              <w:right w:val="none" w:color="000000" w:sz="4" w:space="0"/>
            </w:tcBorders>
            <w:tcW w:w="4318"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1.苗木种类:柿树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1.苗木种类:梨树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1.苗木种类:枣树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1.苗木种类:桃树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1.苗木种类:桔树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1.苗木种类:无花果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1.苗木种类:棕榈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2.地径:10-15cm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1.苗木种类:龙爪槐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1.种类:海桐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4385</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8"/>
        </w:trPr>
        <w:tc>
          <w:tcPr>
            <w:gridSpan w:val="8"/>
            <w:shd w:val="clear" w:color="auto" w:fill="auto"/>
            <w:tcBorders>
              <w:top w:val="single" w:color="000000" w:sz="4" w:space="0"/>
              <w:left w:val="single" w:color="000000" w:sz="4" w:space="0"/>
              <w:bottom w:val="single" w:color="000000" w:sz="4" w:space="0"/>
              <w:right w:val="single" w:color="000000" w:sz="4" w:space="0"/>
            </w:tcBorders>
            <w:tcW w:w="846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57"/>
        <w:gridCol w:w="1314"/>
        <w:gridCol w:w="193"/>
        <w:gridCol w:w="932"/>
        <w:gridCol w:w="342"/>
        <w:gridCol w:w="1507"/>
        <w:gridCol w:w="550"/>
        <w:gridCol w:w="28"/>
        <w:gridCol w:w="119"/>
        <w:gridCol w:w="372"/>
        <w:gridCol w:w="105"/>
        <w:gridCol w:w="338"/>
        <w:gridCol w:w="393"/>
        <w:gridCol w:w="1520"/>
        <w:gridCol w:w="197"/>
        <w:gridCol w:w="1717"/>
      </w:tblGrid>
      <w:tr>
        <w:trPr>
          <w:jc w:val="center"/>
          <w:trHeight w:val="474"/>
        </w:trPr>
        <w:tc>
          <w:tcPr>
            <w:gridSpan w:val="9"/>
            <w:shd w:val="clear" w:color="auto" w:fill="auto"/>
            <w:tcBorders>
              <w:top w:val="none" w:color="000000" w:sz="4" w:space="0"/>
              <w:left w:val="none" w:color="000000" w:sz="4" w:space="0"/>
              <w:bottom w:val="none" w:color="000000" w:sz="4" w:space="0"/>
              <w:right w:val="none" w:color="000000" w:sz="4" w:space="0"/>
            </w:tcBorders>
            <w:tcW w:w="5444"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8.养护区域：京泰路派出所</w:t>
            </w:r>
            <w:r/>
          </w:p>
        </w:tc>
        <w:tc>
          <w:tcPr>
            <w:gridSpan w:val="8"/>
            <w:shd w:val="clear" w:color="auto" w:fill="auto"/>
            <w:tcBorders>
              <w:top w:val="none" w:color="000000" w:sz="4" w:space="0"/>
              <w:left w:val="none" w:color="000000" w:sz="4" w:space="0"/>
              <w:bottom w:val="none" w:color="000000" w:sz="4" w:space="0"/>
              <w:right w:val="none" w:color="000000" w:sz="4" w:space="0"/>
            </w:tcBorders>
            <w:tcW w:w="4761"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554"/>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2.苗木规格:D25-30cm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1.苗木种类:棕榈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1.苗木种类:棕榈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76"/>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1.苗木种类:茶树球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17"/>
        </w:trPr>
        <w:tc>
          <w:tcPr>
            <w:gridSpan w:val="2"/>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2"/>
        </w:trPr>
        <w:tc>
          <w:tcPr>
            <w:gridSpan w:val="15"/>
            <w:shd w:val="clear" w:color="auto" w:fill="auto"/>
            <w:tcBorders>
              <w:top w:val="single" w:color="000000" w:sz="4" w:space="0"/>
              <w:left w:val="single" w:color="000000" w:sz="4" w:space="0"/>
              <w:bottom w:val="single" w:color="000000" w:sz="4" w:space="0"/>
              <w:right w:val="single" w:color="000000" w:sz="4" w:space="0"/>
            </w:tcBorders>
            <w:tcW w:w="829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474"/>
        </w:trPr>
        <w:tc>
          <w:tcPr>
            <w:gridSpan w:val="11"/>
            <w:shd w:val="clear" w:color="auto" w:fill="auto"/>
            <w:tcBorders>
              <w:top w:val="none" w:color="000000" w:sz="4" w:space="0"/>
              <w:left w:val="none" w:color="000000" w:sz="4" w:space="0"/>
              <w:bottom w:val="none" w:color="000000" w:sz="4" w:space="0"/>
              <w:right w:val="none" w:color="000000" w:sz="4" w:space="0"/>
            </w:tcBorders>
            <w:tcW w:w="593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9.养护区域：春兰和运河路交叉口游园</w:t>
            </w:r>
            <w:r/>
          </w:p>
        </w:tc>
        <w:tc>
          <w:tcPr>
            <w:gridSpan w:val="6"/>
            <w:shd w:val="clear" w:color="auto" w:fill="auto"/>
            <w:tcBorders>
              <w:top w:val="none" w:color="000000" w:sz="4" w:space="0"/>
              <w:left w:val="none" w:color="000000" w:sz="4" w:space="0"/>
              <w:bottom w:val="none" w:color="000000" w:sz="4" w:space="0"/>
              <w:right w:val="none" w:color="000000" w:sz="4" w:space="0"/>
            </w:tcBorders>
            <w:tcW w:w="4270"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春兰和运河路交叉口游园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1.苗木种类:腊梅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1.种类:无刺枸骨苗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1.种类:大花六道木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1.种类:红叶石楠苗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1.苗木种类:金丝菊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55"/>
        </w:trPr>
        <w:tc>
          <w:tcPr>
            <w:gridSpan w:val="16"/>
            <w:shd w:val="clear" w:color="auto" w:fill="auto"/>
            <w:tcBorders>
              <w:top w:val="single" w:color="000000" w:sz="4" w:space="0"/>
              <w:left w:val="single" w:color="000000" w:sz="4" w:space="0"/>
              <w:bottom w:val="single" w:color="000000" w:sz="4" w:space="0"/>
              <w:right w:val="single" w:color="000000" w:sz="4" w:space="0"/>
            </w:tcBorders>
            <w:tcW w:w="848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9"/>
        <w:gridCol w:w="1379"/>
        <w:gridCol w:w="1166"/>
        <w:gridCol w:w="2218"/>
        <w:gridCol w:w="638"/>
        <w:gridCol w:w="745"/>
        <w:gridCol w:w="1765"/>
        <w:gridCol w:w="1765"/>
      </w:tblGrid>
      <w:tr>
        <w:trPr>
          <w:jc w:val="center"/>
          <w:trHeight w:val="681"/>
        </w:trPr>
        <w:tc>
          <w:tcPr>
            <w:gridSpan w:val="8"/>
            <w:shd w:val="clear" w:color="auto" w:fill="auto"/>
            <w:tcBorders>
              <w:top w:val="none" w:color="000000" w:sz="4" w:space="0"/>
              <w:left w:val="none" w:color="000000" w:sz="4" w:space="0"/>
              <w:bottom w:val="none" w:color="000000" w:sz="4" w:space="0"/>
              <w:right w:val="none" w:color="000000" w:sz="4" w:space="0"/>
            </w:tcBorders>
            <w:tcW w:w="1020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10.养护区域：济川南侧、润东花苑西侧桥口绿化</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1.种类:海桐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1.种类:海桐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17"/>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5"/>
        </w:trPr>
        <w:tc>
          <w:tcPr>
            <w:gridSpan w:val="7"/>
            <w:shd w:val="clear" w:color="auto" w:fill="auto"/>
            <w:tcBorders>
              <w:top w:val="single" w:color="000000" w:sz="4" w:space="0"/>
              <w:left w:val="single" w:color="000000" w:sz="4" w:space="0"/>
              <w:bottom w:val="single" w:color="000000" w:sz="4" w:space="0"/>
              <w:right w:val="single" w:color="000000" w:sz="4" w:space="0"/>
            </w:tcBorders>
            <w:tcW w:w="844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8"/>
        <w:gridCol w:w="1371"/>
        <w:gridCol w:w="1102"/>
        <w:gridCol w:w="2349"/>
        <w:gridCol w:w="515"/>
        <w:gridCol w:w="103"/>
        <w:gridCol w:w="717"/>
        <w:gridCol w:w="1765"/>
        <w:gridCol w:w="1765"/>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5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11.养护区域：唐沟</w:t>
            </w:r>
            <w:r/>
          </w:p>
        </w:tc>
        <w:tc>
          <w:tcPr>
            <w:gridSpan w:val="4"/>
            <w:shd w:val="clear" w:color="auto" w:fill="auto"/>
            <w:tcBorders>
              <w:top w:val="none" w:color="000000" w:sz="4" w:space="0"/>
              <w:left w:val="none" w:color="000000" w:sz="4" w:space="0"/>
              <w:bottom w:val="none" w:color="000000" w:sz="4" w:space="0"/>
              <w:right w:val="none" w:color="000000" w:sz="4" w:space="0"/>
            </w:tcBorders>
            <w:tcW w:w="4350"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2.苗木规格:胸径9-10cm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2"/>
        </w:trPr>
        <w:tc>
          <w:tcPr>
            <w:gridSpan w:val="8"/>
            <w:shd w:val="clear" w:color="auto" w:fill="auto"/>
            <w:tcBorders>
              <w:top w:val="single" w:color="000000" w:sz="4" w:space="0"/>
              <w:left w:val="single" w:color="000000" w:sz="4" w:space="0"/>
              <w:bottom w:val="single" w:color="000000" w:sz="4" w:space="0"/>
              <w:right w:val="single" w:color="000000" w:sz="4" w:space="0"/>
            </w:tcBorders>
            <w:tcW w:w="844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371"/>
        <w:gridCol w:w="1141"/>
        <w:gridCol w:w="2350"/>
        <w:gridCol w:w="522"/>
        <w:gridCol w:w="107"/>
        <w:gridCol w:w="733"/>
        <w:gridCol w:w="1728"/>
        <w:gridCol w:w="1729"/>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08"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12.养护区域：SPARK南侧</w:t>
            </w:r>
            <w:r/>
          </w:p>
        </w:tc>
        <w:tc>
          <w:tcPr>
            <w:gridSpan w:val="4"/>
            <w:shd w:val="clear" w:color="auto" w:fill="auto"/>
            <w:tcBorders>
              <w:top w:val="none" w:color="000000" w:sz="4" w:space="0"/>
              <w:left w:val="none" w:color="000000" w:sz="4" w:space="0"/>
              <w:bottom w:val="none" w:color="000000" w:sz="4" w:space="0"/>
              <w:right w:val="none" w:color="000000" w:sz="4" w:space="0"/>
            </w:tcBorders>
            <w:tcW w:w="4297"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4"/>
        </w:trPr>
        <w:tc>
          <w:tcPr>
            <w:gridSpan w:val="8"/>
            <w:shd w:val="clear" w:color="auto" w:fill="auto"/>
            <w:tcBorders>
              <w:top w:val="single" w:color="000000" w:sz="4" w:space="0"/>
              <w:left w:val="single" w:color="000000" w:sz="4" w:space="0"/>
              <w:bottom w:val="single" w:color="000000" w:sz="4" w:space="0"/>
              <w:right w:val="single" w:color="000000" w:sz="4" w:space="0"/>
            </w:tcBorders>
            <w:tcW w:w="847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0"/>
        <w:gridCol w:w="1512"/>
        <w:gridCol w:w="1278"/>
        <w:gridCol w:w="1413"/>
        <w:gridCol w:w="580"/>
        <w:gridCol w:w="119"/>
        <w:gridCol w:w="817"/>
        <w:gridCol w:w="1953"/>
        <w:gridCol w:w="195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363"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13.养护区域：前进河游园（栽植）</w:t>
            </w:r>
            <w:r/>
          </w:p>
        </w:tc>
        <w:tc>
          <w:tcPr>
            <w:gridSpan w:val="4"/>
            <w:shd w:val="clear" w:color="auto" w:fill="auto"/>
            <w:tcBorders>
              <w:top w:val="none" w:color="000000" w:sz="4" w:space="0"/>
              <w:left w:val="none" w:color="000000" w:sz="4" w:space="0"/>
              <w:bottom w:val="none" w:color="000000" w:sz="4" w:space="0"/>
              <w:right w:val="none" w:color="000000" w:sz="4" w:space="0"/>
            </w:tcBorders>
            <w:tcW w:w="4842"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50102013001</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喷播植草(灌木)籽</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1.草皮种类:秋季追播草籽（黑麦草）15g/m2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2.两年秋季追播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65"/>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栽植花卉（油菜、向日葵轮种）</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1.种类:油菜、向日葵轮种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2.养护期:二级养护，养护期两年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农作物果实收获归承包人所有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9650</w:t>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25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95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410"/>
        <w:gridCol w:w="1192"/>
        <w:gridCol w:w="2191"/>
        <w:gridCol w:w="652"/>
        <w:gridCol w:w="762"/>
        <w:gridCol w:w="1728"/>
        <w:gridCol w:w="1729"/>
      </w:tblGrid>
      <w:tr>
        <w:trPr>
          <w:jc w:val="center"/>
          <w:trHeight w:val="440"/>
        </w:trPr>
        <w:tc>
          <w:tcPr>
            <w:gridSpan w:val="8"/>
            <w:shd w:val="clear" w:color="auto" w:fill="auto"/>
            <w:tcBorders>
              <w:top w:val="none" w:color="000000" w:sz="4" w:space="0"/>
              <w:left w:val="none" w:color="000000" w:sz="4" w:space="0"/>
              <w:bottom w:val="none" w:color="000000" w:sz="4" w:space="0"/>
              <w:right w:val="none" w:color="000000" w:sz="4" w:space="0"/>
            </w:tcBorders>
            <w:tcW w:w="1020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14.养护区域：泰顺路和济川路交叉口西南角游园（栽植）</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3952"/>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50101001001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砍伐乔木</w:t>
            </w:r>
            <w:r/>
          </w:p>
        </w:tc>
        <w:tc>
          <w:tcPr>
            <w:shd w:val="clear" w:color="auto" w:fill="auto"/>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1.树干胸径:Φ10-30cm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垃圾运距，运距由投标人自行考虑。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垃圾处置方式按相关规范，费用由投标人自行考虑，不再另行计算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Φ10cm以下规格苗木砍伐在清除地被植物中综合考虑，不再另行计算费用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50101007002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清除地被植物</w:t>
            </w:r>
            <w:r/>
          </w:p>
        </w:tc>
        <w:tc>
          <w:tcPr>
            <w:shd w:val="clear" w:color="auto" w:fill="auto"/>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1.地被植物、小灌木清除，弃运地点及运距自行考虑，但应符合环境保护等相关要求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7"/>
            <w:shd w:val="clear" w:color="auto" w:fill="auto"/>
            <w:tcBorders>
              <w:top w:val="single" w:color="000000" w:sz="4" w:space="0"/>
              <w:left w:val="single" w:color="000000" w:sz="4" w:space="0"/>
              <w:bottom w:val="single" w:color="000000" w:sz="4" w:space="0"/>
              <w:right w:val="single" w:color="000000" w:sz="4" w:space="0"/>
            </w:tcBorders>
            <w:tcW w:w="847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371"/>
        <w:gridCol w:w="1114"/>
        <w:gridCol w:w="2184"/>
        <w:gridCol w:w="621"/>
        <w:gridCol w:w="741"/>
        <w:gridCol w:w="1827"/>
        <w:gridCol w:w="1827"/>
      </w:tblGrid>
      <w:tr>
        <w:trPr>
          <w:jc w:val="center"/>
          <w:trHeight w:val="440"/>
        </w:trPr>
        <w:tc>
          <w:tcPr>
            <w:gridSpan w:val="8"/>
            <w:shd w:val="clear" w:color="auto" w:fill="auto"/>
            <w:tcBorders>
              <w:top w:val="none" w:color="000000" w:sz="4" w:space="0"/>
              <w:left w:val="none" w:color="000000" w:sz="4" w:space="0"/>
              <w:bottom w:val="none" w:color="000000" w:sz="4" w:space="0"/>
              <w:right w:val="none" w:color="000000" w:sz="4" w:space="0"/>
            </w:tcBorders>
            <w:tcW w:w="1020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15.养护区域：鹏欣领誉三期售楼处西侧游园（栽植）</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鹏欣领誉三期售楼处西侧游园</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95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50101001001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砍伐乔木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1.树干胸径:Φ10-30cm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垃圾运距，运距由投标人自行考虑。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垃圾处置方式按相关规范，费用由投标人自行考虑，不再另行计算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Φ10cm以下规格苗木砍伐在清除地被植物中综合考虑，不再另行计算费用</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50101007002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清除地被植物</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1.地被植物、小灌木清除，弃运地点及运距自行考虑，但应符合环境保护等相关要求</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海曙路—育才路</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967"/>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50101001002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砍伐乔木</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1.树干胸径:Φ10-30cm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垃圾运距，运距由投标人自行考虑。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垃圾处置方式按相关规范，费用由投标人自行考虑，不再另行计算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Φ10cm以下规格苗木砍伐在清除地被植物中综合考虑，不再另行计算费用</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76"/>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50101007003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清除地被植物</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1.地被植物、小灌木清除，弃运地点及运距自行考虑，但应符合环境保护等相关要求</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7"/>
            <w:shd w:val="clear" w:color="auto" w:fill="auto"/>
            <w:tcBorders>
              <w:top w:val="single" w:color="000000" w:sz="4" w:space="0"/>
              <w:left w:val="single" w:color="000000" w:sz="4" w:space="0"/>
              <w:bottom w:val="single" w:color="000000" w:sz="4" w:space="0"/>
              <w:right w:val="single" w:color="000000" w:sz="4" w:space="0"/>
            </w:tcBorders>
            <w:tcW w:w="837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rPr>
          <w:rFonts w:hint="default" w:eastAsiaTheme="minorEastAsia"/>
          <w:color w:val="auto"/>
          <w:highlight w:val="none"/>
          <w:lang w:val="en-US" w:eastAsia="zh-CN"/>
        </w:rPr>
      </w:pPr>
      <w:r>
        <w:rPr>
          <w:rFonts w:hint="default" w:eastAsiaTheme="minorEastAsia"/>
          <w:color w:val="auto"/>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widowControl/>
        <w:rPr>
          <w:rFonts w:hint="eastAsia" w:ascii="宋体" w:hAnsi="宋体" w:eastAsia="宋体" w:cs="宋体"/>
          <w:b/>
          <w:bCs/>
          <w:i w:val="0"/>
          <w:iCs w:val="0"/>
          <w:color w:val="auto"/>
          <w:sz w:val="32"/>
          <w:szCs w:val="32"/>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投标报价汇总表</w:t>
      </w:r>
      <w:r/>
    </w:p>
    <w:p>
      <w:pPr>
        <w:jc w:val="left"/>
        <w:keepLines w:val="0"/>
        <w:keepNext w:val="0"/>
        <w:widowControl/>
        <w:rPr>
          <w:rFonts w:hint="default" w:ascii="宋体" w:hAnsi="宋体" w:eastAsia="宋体" w:cs="宋体"/>
          <w:b/>
          <w:bCs/>
          <w:i w:val="0"/>
          <w:iCs w:val="0"/>
          <w:color w:val="auto"/>
          <w:sz w:val="32"/>
          <w:szCs w:val="32"/>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项目名称：园区街道道路和区域绿化养护（二标段）</w:t>
      </w:r>
      <w:r/>
    </w:p>
    <w:tbl>
      <w:tblPr>
        <w:tblStyle w:val="809"/>
        <w:tblW w:w="8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2"/>
        <w:gridCol w:w="5214"/>
        <w:gridCol w:w="2497"/>
      </w:tblGrid>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2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单位工程名称</w:t>
            </w:r>
            <w:r/>
          </w:p>
        </w:tc>
        <w:tc>
          <w:tcPr>
            <w:shd w:val="clear" w:color="auto" w:fill="auto"/>
            <w:tcBorders>
              <w:top w:val="single" w:color="000000" w:sz="8" w:space="0"/>
              <w:left w:val="single" w:color="000000" w:sz="4" w:space="0"/>
              <w:bottom w:val="single" w:color="000000" w:sz="4" w:space="0"/>
              <w:right w:val="single" w:color="000000" w:sz="4" w:space="0"/>
            </w:tcBorders>
            <w:tcW w:w="24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金额(元)</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梅兰路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凤凰东路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兴海路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泰和路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泰祥路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泰顺路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泰康路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不可预见费</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220000</w:t>
            </w:r>
            <w:r/>
          </w:p>
        </w:tc>
      </w:tr>
      <w:tr>
        <w:trPr>
          <w:jc w:val="center"/>
          <w:trHeight w:val="567"/>
        </w:trPr>
        <w:tc>
          <w:tcPr>
            <w:gridSpan w:val="2"/>
            <w:shd w:val="clear" w:color="auto" w:fill="auto"/>
            <w:tcBorders>
              <w:top w:val="single" w:color="000000" w:sz="4" w:space="0"/>
              <w:left w:val="single" w:color="000000" w:sz="8" w:space="0"/>
              <w:bottom w:val="single" w:color="000000" w:sz="4" w:space="0"/>
              <w:right w:val="single" w:color="000000" w:sz="4" w:space="0"/>
            </w:tcBorders>
            <w:tcW w:w="62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color w:val="auto"/>
          <w:highlight w:val="none"/>
        </w:rPr>
      </w:pPr>
      <w:r>
        <w:rPr>
          <w:color w:val="auto"/>
          <w:highlight w:val="none"/>
        </w:rPr>
      </w:r>
      <w:r/>
    </w:p>
    <w:p>
      <w:pPr>
        <w:rPr>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注：不可预见费不可调整，否则作无效响应处理。</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hint="eastAsia" w:ascii="宋体" w:hAnsi="宋体" w:eastAsia="宋体" w:cs="宋体"/>
          <w:b/>
          <w:bCs/>
          <w:i w:val="0"/>
          <w:iCs w:val="0"/>
          <w:color w:val="auto"/>
          <w:sz w:val="30"/>
          <w:szCs w:val="30"/>
          <w:highlight w:val="none"/>
          <w:u w:val="none"/>
          <w:lang w:val="en-US" w:eastAsia="zh-CN" w:bidi="ar"/>
        </w:rPr>
        <w:t xml:space="preserve">分部分项全费用综合单价投标明细表</w:t>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71"/>
        <w:gridCol w:w="1222"/>
        <w:gridCol w:w="2375"/>
        <w:gridCol w:w="500"/>
        <w:gridCol w:w="97"/>
        <w:gridCol w:w="951"/>
        <w:gridCol w:w="1579"/>
        <w:gridCol w:w="1579"/>
      </w:tblGrid>
      <w:tr>
        <w:trPr>
          <w:jc w:val="center"/>
          <w:trHeight w:val="474"/>
        </w:trPr>
        <w:tc>
          <w:tcPr>
            <w:gridSpan w:val="5"/>
            <w:shd w:val="clear" w:color="auto" w:fill="auto"/>
            <w:tcBorders>
              <w:top w:val="none" w:color="000000" w:sz="4" w:space="0"/>
              <w:left w:val="none" w:color="000000" w:sz="4" w:space="0"/>
              <w:bottom w:val="single" w:color="000000" w:sz="8" w:space="0"/>
              <w:right w:val="none" w:color="000000" w:sz="4" w:space="0"/>
            </w:tcBorders>
            <w:tcW w:w="5999"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1.养护区域：梅兰路</w:t>
            </w:r>
            <w:r/>
          </w:p>
        </w:tc>
        <w:tc>
          <w:tcPr>
            <w:gridSpan w:val="4"/>
            <w:shd w:val="clear" w:color="auto" w:fill="auto"/>
            <w:tcBorders>
              <w:top w:val="none" w:color="000000" w:sz="4" w:space="0"/>
              <w:left w:val="none" w:color="000000" w:sz="4" w:space="0"/>
              <w:bottom w:val="single" w:color="000000" w:sz="8" w:space="0"/>
              <w:right w:val="none" w:color="000000" w:sz="4" w:space="0"/>
            </w:tcBorders>
            <w:tcW w:w="4206"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8" w:space="0"/>
              <w:left w:val="single" w:color="000000" w:sz="8" w:space="0"/>
              <w:bottom w:val="single" w:color="000000" w:sz="4" w:space="0"/>
              <w:right w:val="single" w:color="000000" w:sz="4"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2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3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5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梅兰路（兴泰路-京泰路）</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1.苗木种类:楸树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2.苗木规格:胸径15cm，高度400-450cm，分支点&gt;1.8m,树形优美,冠幅饱满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2.苗木规格:胸径31cm，全冠,8-10分枝,分支点不少于2.6m,不偏冠,姿态优美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2.苗木规格:胸径20cm，全冠,8-10分枝,分支点不少于2.2m,不偏冠,姿态优美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2.苗木规格:高度800-900cm，全冠,4-6分支,杆径不少于8cm三级以上分支,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2.苗木规格:高度650-700cm，全冠,7-8分支,杆径不少于6cm三级以上分支,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2.苗木规格:胸径30cm，全冠,三级以上分支,分支点3.6m,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2.苗木规格:胸径22cm，全冠,三级以上分支,分支点2.8m,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2.苗木规格:胸径16cm，全冠,三级以上分支,分支点2.0m,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1.苗木种类:重阳木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2.苗木规格:胸径30cm，高度600-650cm，全冠，三级分枝以上，姿态优美，不偏冠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2.苗木规格:胸径30cm，全冠,8-10分枝,分支点不少于3m,不偏冠,姿态优美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2.苗木规格:胸径20cm，全冠,分支点不少于2.2m,不偏冠,姿态优美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2.苗木规格:地径10cm，独杆,棒棒糖造型,姿态优美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2.苗木规格:高度180-200cm，实蓬,分支点1.0m,球形饱满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1.苗木种类:无尽夏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2.苗木规格:高度60cm，1加仑，8头以上/盆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3.养护期:二年Ⅱ级养护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2.苗木规格:高度180cm，球形饱满,分支点不小于1.3m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2.苗木规格:高度130cm，球形饱满,分支点不小于0.8m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1.苗木种类:特选鸡爪槭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2.苗木规格:地径20cm，高度300-350cm，特选苗，全冠，8-10二级分支，三级以上分枝，姿态优美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1.苗木种类:柚子树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2.苗木规格:地径15cm，全冠,分支点≥0.5m,树形饱满,姿态优美,不偏冠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2.苗木规格:地径10cm，全冠,分支点≥0.5m,树形饱满,姿态优美,不偏冠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2.苗木规格:地径8cm，全冠,优选苗,三级以上分支,8-10分枝,树形饱满,姿态优美,不偏冠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2.苗木规格:地径12cm，全冠,优选苗,三级以上分支,分支点0.5-0.8m,树形饱满,姿态优美,不偏冠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2.苗木规格:地径6cm，树形开展，树形优美，自然全冠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1.苗木种类:花瓶紫薇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2.苗木规格:高度220cm，红花，花瓶造型紫薇，造型优美，枝条舒展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1.苗木种类:紫穗狼尾草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2285.58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3494.5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2314.65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739.05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6185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1.苗木种类:葱兰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2.苗木规格:高度15cm，蓬径10cm，64株/平方米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895.3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1.苗木种类:银叶菊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2.苗木规格:高度25-30cm，蓬径20-25cm，49丛/平方米花色丰富,红、白、紫、蓝等色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1.苗木种类:旱伞草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2.苗木规格:高度30-35cm，蓬径25-30cm，25丛//平方米,3-5芽/丛,栽植后不露土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2.苗木规格:高度35-40cm，蓬径20-25cm，49丛//平方米,3-4芽/丛,栽植后不露土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1.苗木种类:花叶芦竹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2.苗木规格:高度45-50cm，蓬径20-25cm，36丛/平方米,2-3分株/丛,栽植后不露土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2.苗木规格:3-4芽/丛,49丛/平方米,容器苗,10x12寸盆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1.苗木种类:千屈菜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1.苗木种类:水生美人蕉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2.苗木规格:高度60-70cm，蓬径25-30cm，16丛/平方,3-4分枝/丛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1.苗木种类:血草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2.苗木规格:高度40cm，蓬径7cm，49丛//平方米,3-5芽/丛,栽植后不露土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1.苗木种类:再力花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2.苗木规格:高度50-60cm，蓬径25-30cm，25丛//平方米,3-5芽/丛,栽植后不露土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2.苗木规格:双排，12株/m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788.7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1561.39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1.苗木种类:夏鹃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2.苗木规格:高度20-25cm，冠幅15-20cm，49株/m2，小毛球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59090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梅兰东路（泰祥路-京泰路）原有树木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2.苗木规格:胸径12cm，高度350cm，冠径350cm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2.苗木规格:高度400cm，冠径300cm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2.苗木规格:胸径12cm，高度700cm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2.苗木规格:胸径15cm，高度700cm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2.苗木规格:胸径25cm，高度1000cm，冠径500cm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2.苗木规格:胸径15cm，高度800cm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2.苗木规格:胸径12cm，高度700cm，冠径450cm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2.苗木规格:胸径12cm，高度700cm，冠径450cm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2.苗木规格:胸径18cm，高度1200cm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2.苗木规格:胸径10cm，高度300cm，冠径200cm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2.苗木规格:胸径6cm，高度180cm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2.苗木规格:胸径10cm，高度600cm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2.苗木规格:胸径10cm，高度250cm，冠径250cm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2.苗木规格:胸径8cm，高度150cm，冠径120cm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2.苗木规格:高度400cm，单排，12株/m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梅兰路西（兴泰路-泰祥路）原有树木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2.苗木规格:胸径12cm，高度350cm，冠径350cm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2.苗木规格:胸径10cm，高度250cm，冠径250cm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2.苗木规格:胸径12cm，高度700cm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2.苗木规格:胸径25cm，高度1000cm，冠径500cm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2.苗木规格:胸径15cm，高度800cm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2.苗木规格:胸径10cm，高度300cm，冠径200cm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2.苗木规格:高度400cm，单排，12株/m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梅兰东路（泰祥路-京泰路）红线外养护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1.苗木种类:腊梅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2.苗木规格:地径7cm，高度300cm，冠径300cm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1.苗木种类:北美海棠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1.苗木种类:火棘球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2.苗木规格:高度110cm，冠径110cm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1.苗木种类:瓜子黄杨球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1.苗木种类:无刺构骨球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1.苗木种类:楸树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梅兰路西（兴泰路-泰祥路）红线外养护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2.苗木规格:胸径13-18cm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2.苗木规格:地径10-11.5cm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2.苗木规格:胸径18-21cm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50102002089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1.苗木种类:美人梅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50102001080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50102001081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50102002090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50102002091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2.苗木规格:高度150cm，冠径150-180cm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60"/>
        </w:trPr>
        <w:tc>
          <w:tcPr>
            <w:gridSpan w:val="8"/>
            <w:shd w:val="clear" w:color="auto" w:fill="auto"/>
            <w:tcBorders>
              <w:top w:val="single" w:color="000000" w:sz="4" w:space="0"/>
              <w:left w:val="single" w:color="000000" w:sz="8" w:space="0"/>
              <w:bottom w:val="single" w:color="000000" w:sz="8" w:space="0"/>
              <w:right w:val="single" w:color="000000" w:sz="4" w:space="0"/>
            </w:tcBorders>
            <w:tcW w:w="8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57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71"/>
        <w:gridCol w:w="1111"/>
        <w:gridCol w:w="2341"/>
        <w:gridCol w:w="513"/>
        <w:gridCol w:w="103"/>
        <w:gridCol w:w="951"/>
        <w:gridCol w:w="1642"/>
        <w:gridCol w:w="1642"/>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67"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2.养护区域：凤凰东路</w:t>
            </w:r>
            <w:r/>
          </w:p>
        </w:tc>
        <w:tc>
          <w:tcPr>
            <w:gridSpan w:val="4"/>
            <w:shd w:val="clear" w:color="auto" w:fill="auto"/>
            <w:tcBorders>
              <w:top w:val="none" w:color="000000" w:sz="4" w:space="0"/>
              <w:left w:val="none" w:color="000000" w:sz="4" w:space="0"/>
              <w:bottom w:val="none" w:color="000000" w:sz="4" w:space="0"/>
              <w:right w:val="none" w:color="000000" w:sz="4" w:space="0"/>
            </w:tcBorders>
            <w:tcW w:w="4338"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凤凰东路（泰安路-泰康路）-1</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2.苗木规格:胸径25cm，高度650-750cm，蓬径550-600cm，全冠,精品苗,不偏冠,姿态优美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2.苗木规格:胸径20cm，高度550-600cm，蓬径400-450cm，全冠,三级以上分支,姿态优美,不偏冠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1.苗木种类:五角枫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2.苗木规格:胸径20cm，高度600-650cm，蓬径450-500cm，全冠,三级以上分支,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2.苗木规格:胸径25cm，高度900-1000cm，蓬径450-500cm，分支点3.2-3.5m,树形优美,冠幅饱满,三方选型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2.苗木规格:胸径25cm，高度700-750cm，冠幅450-500cm，全冠,三级以上分支,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1.苗木种类:特选鸡爪槭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2.苗木规格:地径20cm，高度350-400cm，蓬径300-350cm，特选苗,全冠,8-10二级分枝,三级以上分支,姿态优美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1.苗木种类:造型羽毛枫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2.苗木规格:地径15cm，高度350-400cm，蓬径300-350cm，全冠,优选苗,三级分枝以上,8-10分枝,树形饱满,姿态优美,不偏冠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2.苗木规格:高度150-180cm，蓬径150-180cm，造型优美,枝盘4层以上,三方选型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1.苗木种类:造型檵木桩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2.苗木规格:高度150-180cm，蓬径130-150cm，造型优美，枝盘4层以上，三方选型。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2.苗木规格:地径10cm，高度150-200cm，冠幅200cm，球形饱满,分支点1.3-1.5m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2.苗木规格:地径12cm，高度180cm，冠幅220cm，球形饱满,分支点1.3-1.5m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2.苗木规格:地径5cm，高度180cm，冠幅150cm，球形饱满,分支点1.3-1.5m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1.苗木种类:亮金女贞球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2.苗木规格:高度120cm，蓬径120cm，球形饱满，不脱脚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2.苗木规格:高度80-100cm，蓬径100cm，球形饱满，不脱脚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2.苗木规格:高度120cm，蓬径120cm，球形饱满，不脱脚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2.苗木规格:高度100cm，蓬径120cm，球形月季,球形饱满,不脱胶,花朵丰满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2.苗木规格:胸径12cm，高度600-650cm，蓬径400-450cm，分支点2.5-2.8m,树形优美,冠幅饱满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95.57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1.苗木种类:白穗狼尾草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1.苗木种类:紫穗狼尾草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364.51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1151.23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1.苗木种类:紫花鼠尾草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2.苗木规格:高度30cm，64盆/平方米,容器苗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2.苗木规格:高度25cm，2-3支/丛，容器苗,10x12寸盆,49丛/平方米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607.45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487.97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99.65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445.16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2.苗木规格:高度15cm，蓬径10cm，64株/平方米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902.8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1.苗木种类:银叶菊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18231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2.苗木规格:高度200cm，双排，12株/m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凤凰东路（泰安路-泰康路）南侧红线内</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1.苗木种类:晚樱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1.苗木种类:晚樱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1.苗木种类:晚樱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1.苗木种类:马褂木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2.苗木规格:胸径24-27cm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2.苗木规格:胸径32-40cm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2.苗木规格:胸径23-29cm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2.苗木规格:胸径31-39cm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1.苗木种类:木本绣球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1.苗木种类:瓜子黄杨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1.苗木种类:丛生榔榆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1.苗木种类:嫁接银杏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1.苗木种类:黄连木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2.苗木规格:胸径36-40cm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1.苗木种类:二乔玉兰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1.苗木种类:石楠树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1.苗木种类:西府海棠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1.苗木种类:无刺构骨球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1.苗木种类:早樱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1.苗木种类:重阳木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凤凰东路（泰安路-泰康路）红线外养护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2.苗木规格:冠径240-450cm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1.苗木种类:马褂木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1.苗木种类:国槐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2.苗木规格:地径11-12cm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50102002038</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50102002039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50102001059</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凤凰路南（西侧河边拐角）</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2.苗木规格:D16-18cm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2.苗木规格:D15-16cm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2.苗木规格:D5-7cm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50102001065</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50102002043</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6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p>
      <w:pPr>
        <w:jc w:val="both"/>
        <w:rPr>
          <w:rFonts w:hint="default" w:ascii="宋体" w:hAnsi="宋体" w:eastAsia="宋体" w:cs="宋体"/>
          <w:b/>
          <w:bCs/>
          <w:i w:val="0"/>
          <w:iCs w:val="0"/>
          <w:color w:val="auto"/>
          <w:sz w:val="32"/>
          <w:szCs w:val="32"/>
          <w:highlight w:val="none"/>
          <w:u w:val="none"/>
          <w:lang w:val="en-US" w:eastAsia="zh-CN" w:bidi="ar"/>
        </w:rPr>
      </w:pPr>
      <w:r>
        <w:rPr>
          <w:rFonts w:hint="default" w:ascii="宋体" w:hAnsi="宋体" w:eastAsia="宋体" w:cs="宋体"/>
          <w:b/>
          <w:bCs/>
          <w:i w:val="0"/>
          <w:iCs w:val="0"/>
          <w:color w:val="auto"/>
          <w:sz w:val="32"/>
          <w:szCs w:val="32"/>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38"/>
        <w:gridCol w:w="2301"/>
        <w:gridCol w:w="520"/>
        <w:gridCol w:w="106"/>
        <w:gridCol w:w="941"/>
        <w:gridCol w:w="1653"/>
        <w:gridCol w:w="1653"/>
      </w:tblGrid>
      <w:tr>
        <w:trPr>
          <w:jc w:val="center"/>
          <w:trHeight w:val="400"/>
        </w:trPr>
        <w:tc>
          <w:tcPr>
            <w:gridSpan w:val="5"/>
            <w:shd w:val="clear" w:color="auto" w:fill="auto"/>
            <w:tcBorders>
              <w:top w:val="none" w:color="000000" w:sz="4" w:space="0"/>
              <w:left w:val="none" w:color="000000" w:sz="4" w:space="0"/>
              <w:bottom w:val="none" w:color="000000" w:sz="4" w:space="0"/>
              <w:right w:val="none" w:color="000000" w:sz="4" w:space="0"/>
            </w:tcBorders>
            <w:tcW w:w="585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3.养护区域：兴海路</w:t>
            </w:r>
            <w:r/>
          </w:p>
        </w:tc>
        <w:tc>
          <w:tcPr>
            <w:gridSpan w:val="4"/>
            <w:shd w:val="clear" w:color="auto" w:fill="auto"/>
            <w:tcBorders>
              <w:top w:val="none" w:color="000000" w:sz="4" w:space="0"/>
              <w:left w:val="none" w:color="000000" w:sz="4" w:space="0"/>
              <w:bottom w:val="none" w:color="000000" w:sz="4" w:space="0"/>
              <w:right w:val="none" w:color="000000" w:sz="4" w:space="0"/>
            </w:tcBorders>
            <w:tcW w:w="435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兴海路（泰安路-泰和路以西）-1</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1.苗木种类:重阳木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2.苗木规格:胸径30cm，高度600-650cm，冠幅450-500cm，全冠,三级以上分支,姿态优美,不偏冠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1.苗木种类:枫香A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2.苗木规格:胸径18cm，高度550-600cm，冠幅400-450cm，全冠,8-10分枝,分支点不少于2.5m,不偏冠,姿态优美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1.苗木种类:枫香B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2.苗木规格:胸径15cm，高度500-550cm，冠幅350-400cm，全冠,8-10分枝,分支点不少于2.3m,不偏冠,姿态优美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2.苗木规格:胸径15cm，高度400-450cm，冠幅350-400cm，全冠,8-10分枝,分支点不少于2.3m,不偏冠,姿态优美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2.苗木规格:胸径12cm，高度350-400cm，冠幅300-350cm，全冠,8-10分枝,分支点不少于2.3m,不偏冠,姿态优美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1.苗木种类:五角枫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2.苗木规格:胸径15cm，高度500-550cm，冠幅300cm，全冠,8-10分枝,分支点不少于2.2m,不偏冠,姿态优美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2.苗木规格:地径10cm，高度180-200cm，冠幅220-250cm，实蓬,分枝点大于1.3m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1.苗木种类:榆叶梅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2.苗木规格:地径6cm，高度200-250cm，冠幅150cm，分枝点0.8,全冠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2.苗木规格:高度180-200cm，冠幅150-180cm，全冠,树形优美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2.苗木规格:地径5cm，高度160-200cm，冠幅100-120cm，球形饱满,分支点不小于0.8m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2.苗木规格:高度100cm，冠幅120cm，球形月季,球形饱满,不脱胶,花朵丰满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2.苗木规格:高度＞40cm，蓬径20-25cm，9丛/平方米,容器苗中盆21x26寸盆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875.69</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2.苗木规格:高度25-30cm，蓬径20-25cm，49丛/平方米,花色丰富,红、白、紫、蓝等色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1175.5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1222.9</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2.苗木规格:高度16-18cm，蓬径18-20cm，容器苗,64株/平方米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2.苗木规格:高度15cm，81盆/平方米,容器苗,大杯苗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1046.2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839.5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893.5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2.苗木规格:高度15cm，冠幅10cm，64株/m2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21300</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兴海路（泰安路-泰和路以西）原有树木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2.胸径或干径:胸径18-20cm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1.种类:枫杨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2.苗木规格:胸径8-10cm，高度250cm，冠幅250cm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2.苗木规格:胸径6-8cm，高度250cm，冠幅250cm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5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85"/>
        <w:gridCol w:w="1171"/>
        <w:gridCol w:w="2364"/>
        <w:gridCol w:w="531"/>
        <w:gridCol w:w="109"/>
        <w:gridCol w:w="749"/>
        <w:gridCol w:w="1682"/>
        <w:gridCol w:w="1683"/>
      </w:tblGrid>
      <w:tr>
        <w:trPr>
          <w:jc w:val="center"/>
          <w:trHeight w:val="474"/>
        </w:trPr>
        <w:tc>
          <w:tcPr>
            <w:gridSpan w:val="5"/>
            <w:shd w:val="clear" w:color="auto" w:fill="auto"/>
            <w:tcBorders>
              <w:top w:val="none" w:color="000000" w:sz="4" w:space="0"/>
              <w:left w:val="none" w:color="000000" w:sz="4" w:space="0"/>
              <w:bottom w:val="single" w:color="000000" w:sz="8" w:space="0"/>
              <w:right w:val="none" w:color="000000" w:sz="4" w:space="0"/>
            </w:tcBorders>
            <w:tcW w:w="598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4.养护区域：泰和路</w:t>
            </w:r>
            <w:r/>
          </w:p>
        </w:tc>
        <w:tc>
          <w:tcPr>
            <w:gridSpan w:val="4"/>
            <w:shd w:val="clear" w:color="auto" w:fill="auto"/>
            <w:tcBorders>
              <w:top w:val="none" w:color="000000" w:sz="4" w:space="0"/>
              <w:left w:val="none" w:color="000000" w:sz="4" w:space="0"/>
              <w:bottom w:val="single" w:color="000000" w:sz="8" w:space="0"/>
              <w:right w:val="none" w:color="000000" w:sz="4" w:space="0"/>
            </w:tcBorders>
            <w:tcW w:w="422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8" w:space="0"/>
              <w:left w:val="single" w:color="000000" w:sz="8" w:space="0"/>
              <w:bottom w:val="single" w:color="000000" w:sz="4" w:space="0"/>
              <w:right w:val="single" w:color="000000" w:sz="4" w:space="0"/>
            </w:tcBorders>
            <w:tcW w:w="5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3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36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泰和路（凤凰路-梅兰路）-1</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25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3.株高、冠径:高度400-450cm，冠幅350-400cm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4.苗木外形:分支点&gt;1.8m,树形优美,冠幅饱满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3.株高、冠径:高度550-600cm，冠幅400-450cm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3.株高、冠径:高度400-450cm，冠幅350-400cm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4.苗木外形:全冠,分支点2.2-2.5m,树形优美,不偏冠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1.种类:木槿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3.冠丛高:高度250-300cm，冠幅200-250cm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4.苗木外形:全冠,8-10分枝,分枝点0.8m,树形优美,不偏冠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1.种类:茶花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3.冠丛高:高度250-300cm，冠幅200-250cm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4.苗木外形:全冠,分枝点0.8m,树形优美,不偏冠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3.冠丛高:高度150-200cm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4.蓬径:冠幅200-250cm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5.苗木外形:球形饱满,分支点1.3一1.5m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1.种类:美国红枫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3.株高、冠径:高度300-350cm，冠幅250-300cm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4.苗木外形:全冠,优选苗,三级分枝以上,树形饱满,姿态优美。不偏冠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1.苗木种类:血草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2.苗木规格:高度40cm49株/平方米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2.苗木规格:高度25-30cm，蓬径20-25cm，36丛/平方米,花色丰富,红、白、紫、蓝等色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688.9</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256.8</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1.苗木种类:紫花地丁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1.苗木种类:美丽月见草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668.7</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2.铺种方式:满铺,百慕达黑麦草草皮，冷季型:暖季型（按5:5考虑）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7153</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泰和路（凤凰路-梅兰路）红线内树木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8" w:space="0"/>
              <w:bottom w:val="single" w:color="000000" w:sz="8" w:space="0"/>
              <w:right w:val="single" w:color="000000" w:sz="4" w:space="0"/>
            </w:tcBorders>
            <w:tcW w:w="852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8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1371"/>
        <w:gridCol w:w="1447"/>
        <w:gridCol w:w="2269"/>
        <w:gridCol w:w="520"/>
        <w:gridCol w:w="105"/>
        <w:gridCol w:w="846"/>
        <w:gridCol w:w="1563"/>
        <w:gridCol w:w="156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128"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5.养护区域：泰祥路</w:t>
            </w:r>
            <w:r/>
          </w:p>
        </w:tc>
        <w:tc>
          <w:tcPr>
            <w:gridSpan w:val="4"/>
            <w:shd w:val="clear" w:color="auto" w:fill="auto"/>
            <w:tcBorders>
              <w:top w:val="none" w:color="000000" w:sz="4" w:space="0"/>
              <w:left w:val="none" w:color="000000" w:sz="4" w:space="0"/>
              <w:bottom w:val="none" w:color="000000" w:sz="4" w:space="0"/>
              <w:right w:val="none" w:color="000000" w:sz="4" w:space="0"/>
            </w:tcBorders>
            <w:tcW w:w="4077"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泰祥路（南段凤凰路-梅兰路、北段兴陵路-济川路）-1</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2.苗木规格:高度800-900cm，冠幅500-600cm，全冠,4-6分支,杆径不少于8cm三级以上分支,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2.苗木规格:高度650-700cm，冠幅400-450cm，全冠,7-8分支,杆径不少于6cm三级以上分支,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1.种类:朴树A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3.株高、冠径:高度600-650cm，冠幅450-500cm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1.种类:朴树B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1.种类:乌桕A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3.株高、冠径:高度600-650cm，冠幅350-400cm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4.苗木外形:全冠,三级以上分支,分支点2.8m,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1.种类:乌桕B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3.株高、冠径:高度550-600cm，冠幅300-350cm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4.苗木外形:全冠,三级以上分支,分支点2.0m,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1.种类:枫香A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3.株高、冠径:高度600-650cm，冠幅400-450cm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1.种类:枫香B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1.种类:榉树A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3.株高、冠径:高度600-650cm，冠幅450-500cm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4.苗木外形:全冠,8-10分枝,分支点不少于2.2m,不偏冠,姿态优美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1.种类:榉树B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3.株高、冠径:高度500-550cm，冠幅400-450cm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1.种类:三角枫A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1.种类:五角枫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3.株高、冠径:高度550-600cm，冠幅350-400cm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4.苗木外形:全冠,分支点不少于2.2m,不偏冠,姿态优美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3.株高、冠径:高度500-550cm，冠幅350-400cm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4.苗木外形:分支点统一为2.5m,树形优美,冠幅饱满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3.株高、冠径:高度300-350cm，冠幅200-220cm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4.苗木外形:独杆,棒棒糖造型,姿态优美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1.种类:染井吉野樱A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3.株高、冠径:高度400-450cm，冠幅300-400cm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4.苗木外形:全冠,优选苗,分支点50-80,树形饱满,姿态优美,不偏冠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1.种类:染井吉野樱B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3.株高、冠径:高度300-400cm，冠幅250-300cm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4.苗木外形:全冠,优选苗,分支点50-80,树形饱满,姿态优美,不偏冠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1.种类:垂丝海棠A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3.株高、冠径:高度400-450cm，冠幅350-400cm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1.种类:垂丝海棠B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3.株高、冠径:高度350-400cm，冠幅250-300cm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3.株高、冠径:高度350-400cm，冠幅300-350cm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4.苗木外形:全冠,优选苗,三级以上分支,8-10分枝,树形饱满,姿态优美,不偏冠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1.种类:红枫B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3.株高、冠径:高度200-250cm，冠幅200-250cm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4.苗木外形:全冠,优选苗,三级以上分支,分支点0.5-0.8m,树形饱满,姿态优美,不偏冠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1.种类:无刺构骨棒棒糖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3.蓬径:冠幅150-180cm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2.冠丛高:高度80-100cm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1.苗木种类:细叶芒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50102008016</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2.苗木规格:高度25-30cm，蓬径20-25cm，36丛/平方米,花色丰富,红、白、紫、蓝等色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50102008018</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231.7</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1.苗木种类:夏鹃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2.苗木规格:高度20-25cm，蓬径15-20cm，毛球,49株/平方米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198.99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50102008027</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50102007008</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2.苗木规格:高度20cm，蓬径20cm，49株/平方米,容器苗,10x12寸盆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165.3</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50102008020</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50102008022</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739.9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50102008023</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287.1</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50102008024</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2.苗木规格:高度15cm，蓬径10cm，64株/平方米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50102008029</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96.86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2.篱高:高度200cm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3.行数、蓬径:12株/米,双排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2.铺种方式:满铺,百慕达黑麦草草皮，冷季型:暖季型（按5:5考虑）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9416</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泰祥路（南段凤凰路-梅兰路、北段兴陵路-济川路）红线内树木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泰祥路（南段凤凰路-梅兰路、北段兴陵路-济川路）红线外养护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泰祥北路</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50101006001</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清除杂草</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1.荒地清除杂草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64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1371"/>
        <w:gridCol w:w="1130"/>
        <w:gridCol w:w="2307"/>
        <w:gridCol w:w="518"/>
        <w:gridCol w:w="105"/>
        <w:gridCol w:w="951"/>
        <w:gridCol w:w="1651"/>
        <w:gridCol w:w="1651"/>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47"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6.养护区域：泰顺路</w:t>
            </w:r>
            <w:r/>
          </w:p>
        </w:tc>
        <w:tc>
          <w:tcPr>
            <w:gridSpan w:val="4"/>
            <w:shd w:val="clear" w:color="auto" w:fill="auto"/>
            <w:tcBorders>
              <w:top w:val="none" w:color="000000" w:sz="4" w:space="0"/>
              <w:left w:val="none" w:color="000000" w:sz="4" w:space="0"/>
              <w:bottom w:val="none" w:color="000000" w:sz="4" w:space="0"/>
              <w:right w:val="none" w:color="000000" w:sz="4" w:space="0"/>
            </w:tcBorders>
            <w:tcW w:w="4358"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泰顺路（凤凰路-济川路）-1</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1.种类:枫香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3.株高、冠径:高度600-650cm，冠幅400-450cm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3.株高、冠径:高度300-350cm，冠幅200-220cm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4.苗木外形:独杆,棒棒糖造型,姿态优美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1.种类:四川红紫薇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5.苗木外形:优选苗,三级以上分支,树形饱满,姿态优美,不偏冠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1.种类:红火箭紫薇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5.苗木外形:优选苗,三级以上分支,树形饱满,姿态优美,不偏冠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2.苗木规格:胸径20cm，高度550-600cm，冠幅350-400cm，全冠,8-10分枝,分支点不少于2.5m,不偏冠,姿态优美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2.苗木规格:胸径20cm，高度600-650cm，冠幅450-500cm，全冠,8-10分枝,分支点不少于2.5m,不偏冠,姿态优美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2.苗木规格:高度25-30cm，蓬径20-25cm，36丛/平方米,花色丰富,红、白、紫、蓝等色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2314.9</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768.4</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166.2</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2.苗木规格:高度20cm，蓬径20cm，49株/平方米,容器苗,10x12寸盆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563.1</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1409</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880.9</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2.苗木规格:高度20cm，蓬径15cm，3-5芽/丛，64株/平方米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7693.75</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泰顺路（凤凰路-济川路）原有树木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2.苗木规格:胸径16-20cm，冠径300cm，高度800cm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2.苗木规格:胸径20-26cm，冠径300cm，高度800cm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1.种类:意杨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2.胸径或干径:胸径35cm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3.株高、冠径:高度1000cm，冠幅300cm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2.苗木规格:胸径10-12cm，冠径250cm，高度300cm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1.苗木种类:丛生石榴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2.苗木规格:冠径300cm，高度350cm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2.苗木规格:双排，12株/m，高度250cm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1.苗木种类:球类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泰顺路（凤凰路-济川路）红线外养护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1.苗木种类:火棘球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2.苗木规格:高度80-100cm，冠径120-150cm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1371"/>
        <w:gridCol w:w="1130"/>
        <w:gridCol w:w="2230"/>
        <w:gridCol w:w="518"/>
        <w:gridCol w:w="105"/>
        <w:gridCol w:w="1056"/>
        <w:gridCol w:w="1637"/>
        <w:gridCol w:w="1637"/>
      </w:tblGrid>
      <w:tr>
        <w:trPr>
          <w:jc w:val="center"/>
          <w:trHeight w:val="474"/>
        </w:trPr>
        <w:tc>
          <w:tcPr>
            <w:gridSpan w:val="5"/>
            <w:shd w:val="clear" w:color="auto" w:fill="auto"/>
            <w:tcBorders>
              <w:top w:val="none" w:color="000000" w:sz="4" w:space="0"/>
              <w:left w:val="none" w:color="000000" w:sz="4" w:space="0"/>
              <w:bottom w:val="single" w:color="000000" w:sz="8" w:space="0"/>
              <w:right w:val="none" w:color="000000" w:sz="4" w:space="0"/>
            </w:tcBorders>
            <w:tcW w:w="5770"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7.养护区域：泰康路</w:t>
            </w:r>
            <w:r/>
          </w:p>
        </w:tc>
        <w:tc>
          <w:tcPr>
            <w:gridSpan w:val="4"/>
            <w:shd w:val="clear" w:color="auto" w:fill="auto"/>
            <w:tcBorders>
              <w:top w:val="none" w:color="000000" w:sz="4" w:space="0"/>
              <w:left w:val="none" w:color="000000" w:sz="4" w:space="0"/>
              <w:bottom w:val="single" w:color="000000" w:sz="8" w:space="0"/>
              <w:right w:val="none" w:color="000000" w:sz="4" w:space="0"/>
            </w:tcBorders>
            <w:tcW w:w="443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8" w:space="0"/>
              <w:left w:val="single" w:color="000000" w:sz="8"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8"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泰康路（凤凰路-育才路）</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1.种类:西府海棠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3.株高、冠径:高度180-200cm，冠幅100-150cm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4.苗木外形:不偏冠,分枝点40-60cm,分支点统一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3.株高、冠径:高度300-350cm，冠幅200-220cm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4.苗木外形:独干,球形,分枝点160-180,分支点统一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3.株高、冠径:高度120-130cm，冠幅120-130cm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4.起挖方式:造型优美,四盘枝以上,三方选型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1.种类:棒棒糖无刺构骨球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2.根盘直径:地径6-8cm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3.冠丛高:高度160-180cm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4.蓬径:冠幅120cm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5.苗木外形:独杆,球形饱满,分支点80-100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1.种类:造型黄杨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2.冠丛高:高度120-130cm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3.蓬径:冠幅120-130cm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4.苗木外形:造型优美,四盘枝以上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1.种类:造型檵木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2.冠丛高:高度120-130cm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3.蓬径:冠幅120-130cm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4.苗木外形:造型优美,四盘枝以上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1.种类:桂花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2.株高、冠径:高度300-350cm，冠幅250cm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3.苗木外形:不偏冠,分枝点80-100cm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3.株高、冠径:高度200-350cm，冠幅200-250cm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4.苗木外形:不偏冠,分枝点80-100cm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1.种类:黄金槐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2.胸径或干径:地径8cm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3.株高、冠径:高度250-320cm，冠幅200-250cm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4.苗木外形:不偏冠,分枝点100-120cm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1.种类:矮蒲苇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2.冠丛高:高度60cm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3.蓬径:冠幅50cm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4.苗木外形:容器苗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1069.8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2.苗木规格:高度20cm，蓬径15cm，3-5芽/丛，64株/平方米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1733.8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1.苗木种类:金边麦冬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798.5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2.苗木规格:高度16-20cm，蓬径18-20cm，64从/平方米,容器苗,3-5芽/丛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1105.3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2.苗木规格:蓬径20-25cm，49丛/平方米,3-4芽/丛，红花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799.45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2.苗木规格:高度20-25cm，49从每平方,容器苗,10X12盆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1.苗木种类:玉龙草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2.苗木规格:81丛/平方米,3-4芽/丛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1.苗木、花卉种类:亮晶女贞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2.苗木规格:高度20-25cm，冠幅20-25cm，36株/平方米,不露土,小毛球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10716.01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2.苗木规格:高度30cm，36株/平方米,容器苗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2.篱高:高度200cm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3.行数、蓬径:8株/米,双排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1759</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泰康路（凤凰路-育才路）原有树木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2.苗木规格:胸径17-22cm，冠幅400-500cm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2.苗木规格:胸径25-28cm，冠幅500-600cm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2.苗木规格:胸径14-17cm，冠幅350-400cm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2.苗木规格:胸径8-13cm，冠幅300-350cm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1.苗木种类:国槐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2.苗木规格:胸径18-21cm，冠幅400-500cm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1.苗木种类:国槐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2.苗木规格:胸径26-28cm，冠幅500-600cm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2.苗木规格:胸径22-28cm，冠幅500-600cm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2.苗木规格:胸径18-28cm，冠幅500-600cm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2.苗木规格:胸径22-25cm，冠幅500-600cm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1.种类:柳树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2.胸径或干径:胸径35cm，冠幅600-750cm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1.种类:三角枫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2.胸径或干径:胸径17-21cm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3.株高、冠径:冠幅550-600cm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2.苗木规格:胸径21-23cm，冠幅500-600cm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2.苗木规格:地径22-24cm，冠幅550-650cm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2.苗木规格:胸径24-26cm，冠幅500-600cm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1.种类:造型黄杨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2.蓬径:冠幅300-400cm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2.苗木规格:地径11-17cm，冠径180-250cm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2.苗木规格:地径12-14cm，冠径180-220cm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2.苗木规格:地径7-9cm，冠径150-200cm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2.苗木规格:地径9-10cm，冠径180-230cm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2.苗木规格:地径12-14cm，冠径150-200cm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2.苗木规格:地径9-11cm，冠径120-180cm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1.苗木种类:花箱红叶石楠球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泰康路（凤凰路-育才路）红线外养护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2.苗木规格:冠径120-150cm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1.苗木种类:独杆石楠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2.苗木规格:胸径8-9cm，冠径250-300cm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1.苗木种类:独杆石楠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2.苗木规格:冠径130-150cm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8" w:space="0"/>
              <w:bottom w:val="single" w:color="000000" w:sz="8" w:space="0"/>
              <w:right w:val="single" w:color="000000" w:sz="4" w:space="0"/>
            </w:tcBorders>
            <w:tcW w:w="856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3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default" w:ascii="宋体" w:hAnsi="宋体" w:eastAsia="宋体" w:cs="宋体"/>
          <w:b/>
          <w:bCs/>
          <w:i w:val="0"/>
          <w:iCs w:val="0"/>
          <w:color w:val="auto"/>
          <w:sz w:val="15"/>
          <w:szCs w:val="15"/>
          <w:highlight w:val="none"/>
          <w:u w:val="none"/>
          <w:lang w:val="en-US" w:eastAsia="zh-CN" w:bidi="ar"/>
        </w:rPr>
      </w:pPr>
      <w:r>
        <w:rPr>
          <w:rFonts w:hint="default" w:ascii="宋体" w:hAnsi="宋体" w:eastAsia="宋体" w:cs="宋体"/>
          <w:b/>
          <w:bCs/>
          <w:i w:val="0"/>
          <w:iCs w:val="0"/>
          <w:color w:val="auto"/>
          <w:sz w:val="15"/>
          <w:szCs w:val="15"/>
          <w:highlight w:val="none"/>
          <w:u w:val="none"/>
          <w:lang w:val="en-US" w:eastAsia="zh-CN" w:bidi="ar"/>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t xml:space="preserve">投标报价汇总表</w:t>
      </w:r>
      <w:r/>
    </w:p>
    <w:p>
      <w:pPr>
        <w:jc w:val="left"/>
        <w:keepLines w:val="0"/>
        <w:keepNext w:val="0"/>
        <w:widowControl/>
        <w:rPr>
          <w:rFonts w:hint="default" w:ascii="宋体" w:hAnsi="宋体" w:eastAsia="宋体" w:cs="宋体"/>
          <w:b/>
          <w:bCs/>
          <w:i w:val="0"/>
          <w:iCs w:val="0"/>
          <w:color w:val="auto"/>
          <w:sz w:val="32"/>
          <w:szCs w:val="32"/>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项目名称：园区街道道路和区域绿化养护（三标段）</w:t>
      </w:r>
      <w:r/>
    </w:p>
    <w:tbl>
      <w:tblPr>
        <w:tblStyle w:val="809"/>
        <w:tblW w:w="8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2"/>
        <w:gridCol w:w="5214"/>
        <w:gridCol w:w="2497"/>
      </w:tblGrid>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2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单位工程名称</w:t>
            </w:r>
            <w:r/>
          </w:p>
        </w:tc>
        <w:tc>
          <w:tcPr>
            <w:shd w:val="clear" w:color="auto" w:fill="auto"/>
            <w:tcBorders>
              <w:top w:val="single" w:color="000000" w:sz="8" w:space="0"/>
              <w:left w:val="single" w:color="000000" w:sz="4" w:space="0"/>
              <w:bottom w:val="single" w:color="000000" w:sz="4" w:space="0"/>
              <w:right w:val="single" w:color="000000" w:sz="4" w:space="0"/>
            </w:tcBorders>
            <w:tcW w:w="24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金额(元)</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浙江路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济川路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兴工路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兴业路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泰盛路（兴工路以北-横六路以南）</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金东路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兴园路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海姜大道</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春兰路西</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兴陵路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横六路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泰安路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春华路（森园路—运河东路）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规划支路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芦花路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泰盛路（育才路-冯塘路、兴陵路-凤凰路）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凤凰路、海姜大道、迎春路增绿</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凤凰东路（泰康路以东）</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永吉路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五岔河路</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不可预见费</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200000</w:t>
            </w:r>
            <w:r/>
          </w:p>
        </w:tc>
      </w:tr>
      <w:tr>
        <w:trPr>
          <w:jc w:val="center"/>
          <w:trHeight w:val="567"/>
        </w:trPr>
        <w:tc>
          <w:tcPr>
            <w:gridSpan w:val="2"/>
            <w:shd w:val="clear" w:color="auto" w:fill="auto"/>
            <w:tcBorders>
              <w:top w:val="single" w:color="000000" w:sz="4" w:space="0"/>
              <w:left w:val="single" w:color="000000" w:sz="8" w:space="0"/>
              <w:bottom w:val="single" w:color="000000" w:sz="4" w:space="0"/>
              <w:right w:val="single" w:color="000000" w:sz="4" w:space="0"/>
            </w:tcBorders>
            <w:tcW w:w="62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righ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left"/>
        <w:rPr>
          <w:rFonts w:hint="default"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注：不可预见费不可调整，否则作无效响应处理。</w:t>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rFonts w:hint="eastAsia" w:ascii="宋体" w:hAnsi="宋体" w:eastAsia="宋体" w:cs="宋体"/>
          <w:b/>
          <w:bCs/>
          <w:i w:val="0"/>
          <w:iCs w:val="0"/>
          <w:color w:val="auto"/>
          <w:sz w:val="36"/>
          <w:szCs w:val="36"/>
          <w:highlight w:val="none"/>
          <w:u w:val="none"/>
          <w:lang w:val="en-US" w:eastAsia="zh-CN" w:bidi="ar"/>
        </w:rPr>
      </w:pPr>
      <w:r>
        <w:rPr>
          <w:rFonts w:hint="eastAsia" w:ascii="宋体" w:hAnsi="宋体" w:eastAsia="宋体" w:cs="宋体"/>
          <w:b/>
          <w:bCs/>
          <w:i w:val="0"/>
          <w:iCs w:val="0"/>
          <w:color w:val="auto"/>
          <w:sz w:val="36"/>
          <w:szCs w:val="36"/>
          <w:highlight w:val="none"/>
          <w:u w:val="none"/>
          <w:lang w:val="en-US" w:eastAsia="zh-CN" w:bidi="ar"/>
        </w:rPr>
      </w:r>
      <w:r/>
    </w:p>
    <w:p>
      <w:pPr>
        <w:jc w:val="center"/>
        <w:rPr>
          <w:color w:val="auto"/>
          <w:highlight w:val="none"/>
        </w:rPr>
      </w:pPr>
      <w:r>
        <w:rPr>
          <w:rFonts w:hint="eastAsia" w:ascii="宋体" w:hAnsi="宋体" w:eastAsia="宋体" w:cs="宋体"/>
          <w:b/>
          <w:bCs/>
          <w:i w:val="0"/>
          <w:iCs w:val="0"/>
          <w:color w:val="auto"/>
          <w:sz w:val="30"/>
          <w:szCs w:val="30"/>
          <w:highlight w:val="none"/>
          <w:u w:val="none"/>
          <w:lang w:val="en-US" w:eastAsia="zh-CN" w:bidi="ar"/>
        </w:rPr>
        <w:t xml:space="preserve">分部分项全费用综合单价投标明细表</w:t>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1371"/>
        <w:gridCol w:w="1138"/>
        <w:gridCol w:w="2381"/>
        <w:gridCol w:w="520"/>
        <w:gridCol w:w="105"/>
        <w:gridCol w:w="951"/>
        <w:gridCol w:w="1609"/>
        <w:gridCol w:w="1609"/>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3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1.养护区域：迎春路</w:t>
            </w:r>
            <w:r/>
          </w:p>
        </w:tc>
        <w:tc>
          <w:tcPr>
            <w:gridSpan w:val="4"/>
            <w:shd w:val="clear" w:color="auto" w:fill="auto"/>
            <w:tcBorders>
              <w:top w:val="none" w:color="000000" w:sz="4" w:space="0"/>
              <w:left w:val="none" w:color="000000" w:sz="4" w:space="0"/>
              <w:bottom w:val="none" w:color="000000" w:sz="4" w:space="0"/>
              <w:right w:val="none" w:color="000000" w:sz="4" w:space="0"/>
            </w:tcBorders>
            <w:tcW w:w="427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迎春路（兴泰路-京泰路）-1</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2.苗木规格:胸径20cm，高度550-600cm，冠幅350-400cm，全冠,8-10分枝,分支点不少于2.5m,不偏冠,姿态优美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2.苗木规格:胸径15cm，高度500-550cm，冠幅300cm，全冠,8-10分枝,分支点不少于2.0m,不偏冠,姿态优美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2.苗木规格:胸径15cm，高度550-600cm，冠幅300-350cm，全冠,三级以上分支, 分支点不少于2.2m,姿态优美,不偏冠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2.苗木规格:胸径16cm，高度550-600cm，冠幅300-350cm，全冠,三级以上分支, 分支点不少于2.2m,姿态优美,不偏冠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2.苗木规格:胸径20cm，高度700-750cm，冠幅350-400cm，全冠,三级以上分支,分支点不少于2.2m,姿态优美,不偏冠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2.苗木规格:胸径22cm，高度600-650cm，冠幅350-400cm，全冠,三级以上分支,分支点不少于2.2m,姿态优美,不偏冠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2.苗木规格:胸径15cm，高度500-600cm，冠幅350-400cm，分支点大于1.8m,姿态优美,不偏冠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2.苗木规格:胸径18cm，高度500-550cm，冠幅350-400cm，全冠,分支点不少于2.2m,姿态优美,不偏冠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1.苗木种类:帚桃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2.苗木规格:地径6cm，高度150-200cm，冠幅180-220cm，全冠,8-10分枝,分枝点0.8m,树形优美,不偏冠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1.苗木种类:龙爪槐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2.苗木规格:地径6cm，高度180-200cm，冠幅180-200cm，全冠,分枝点1.3m,造型优美,树形饱满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2.苗木规格:地径5cm，高度160-200cm，冠幅100-120cm，球形饱满,分支点不小于0.8m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2.苗木规格:地径10cm,高度160-180cm，蓬径130-150cm，造型优美,枝盘4层以上,三方选型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2.苗木规格:高度160-180cm，冠幅130-150cm，造型优美,枝盘4层以上,三方选型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2.苗木规格:地径8cm，高度350-400cm，冠幅300-350cm，全冠,三级以上分支,分支点40-50,树形饱满,姿态优美,不偏冠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2.苗木规格:地径6cm，高度300-350cm，冠幅250-300cm，全冠,8-10分枝,分支点40-50,树形饱满,姿态优美,不偏冠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1.苗木种类:无尽夏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2.苗木规格:高度80cm，冠幅100cm，1加仑，8头以上/盆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2.苗木规格:地径10cm，高度300-350cm，冠幅200-220cm，独杆,棒棒糖造型,姿态优美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2.苗木规格:高度80-100cm，冠幅100cm，球形饱满，不脱脚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2.苗木规格:地径10cm，高度200-250cm，冠幅200-250cm，全冠,优选苗,三级以上分支,分支点0.5-0.8m,树形饱满,姿态优美,不偏冠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2.苗木规格:高度25-30cm，蓬径20-25cm，36丛/平方米,花色丰富,红、白、紫、蓝等色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262.34</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2.苗木规格:高度20cm，蓬径20cm，49株/平方米,容器苗,10x12寸盆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523.04</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296.96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52.68</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19.33</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2.苗木规格:高度20cm，蓬径15cm，3-5芽/丛,49株/平方米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629.25</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98.81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107.74</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4081.17</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迎春路（兴泰路-京泰路）原有树木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2.苗木规格:胸径17.5-18.5cm，冠幅250-300cm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迎春路（兴泰路-京泰路）红线外养护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50102002021</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9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0"/>
          <w:szCs w:val="20"/>
          <w:highlight w:val="none"/>
          <w:u w:val="none"/>
          <w:lang w:val="en-US" w:eastAsia="zh-CN" w:bidi="ar"/>
        </w:rPr>
      </w:pPr>
      <w:r>
        <w:rPr>
          <w:rFonts w:hint="eastAsia" w:ascii="宋体" w:hAnsi="宋体" w:eastAsia="宋体" w:cs="宋体"/>
          <w:b/>
          <w:bCs/>
          <w:i w:val="0"/>
          <w:iCs w:val="0"/>
          <w:color w:val="auto"/>
          <w:sz w:val="20"/>
          <w:szCs w:val="20"/>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39"/>
        <w:gridCol w:w="2288"/>
        <w:gridCol w:w="520"/>
        <w:gridCol w:w="106"/>
        <w:gridCol w:w="951"/>
        <w:gridCol w:w="1654"/>
        <w:gridCol w:w="1654"/>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40"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2.养护区域：浙江路</w:t>
            </w:r>
            <w:r/>
          </w:p>
        </w:tc>
        <w:tc>
          <w:tcPr>
            <w:gridSpan w:val="4"/>
            <w:shd w:val="clear" w:color="auto" w:fill="auto"/>
            <w:tcBorders>
              <w:top w:val="none" w:color="000000" w:sz="4" w:space="0"/>
              <w:left w:val="none" w:color="000000" w:sz="4" w:space="0"/>
              <w:bottom w:val="none" w:color="000000" w:sz="4" w:space="0"/>
              <w:right w:val="none" w:color="000000" w:sz="4" w:space="0"/>
            </w:tcBorders>
            <w:tcW w:w="436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浙江路（兴泰路-向阳路）</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2.苗木规格:地径15cm，高度500-550cm，冠幅400cm，分支点2.3-2.5m,树形优美,冠幅饱满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1.苗木种类:造型继木桩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2.苗木规格:高度160-180cm，冠幅150-180cm，造型优美,枝盘4层以上,三方选型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2.苗木规格:高度160-180cm，冠幅130-150cm，造型优美,枝盘4层以上,三方选型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2.苗木规格:地径10cm,高度130-150cm，蓬径130-150cm，造型优美,枝盘4层以上,三方选型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47.32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214.87</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2.苗木规格:高度25-30cm，蓬径20-25cm，49丛/平方米,花色丰富,红、白、紫、蓝等色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131.7</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37.96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132.11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45.16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574.56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1.苗木种类:葱兰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113.08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2.苗木规格:高度15cm，冠幅20cm，81株/m2，大杯苗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57.26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117.02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2942.75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浙江路（兴泰路-向阳路）原有树木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2.苗木规格:胸径4-10cm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2.苗木规格:冠幅130-150cm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2.苗木规格:冠幅100-120cm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1.苗木种类:火棘球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1.苗木种类:火棘球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2.苗木规格:冠幅80-100cm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1.苗木种类:夹竹桃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50102003002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养护竹类</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1.竹种类:竹子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2.竹胸径或根盘丛径: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丛</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浙江路广场原有树木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2.苗木规格:胸径51-60cm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2.苗木规格:胸径41-50cm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2.苗木规格:胸径51-60cm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2.苗木规格:冠径300-500cm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2.苗木规格:冠幅120-150cm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2.苗木规格:高度50cm，蓬径60cm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1.苗木种类:金边黄杨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1.苗木种类:瓜子黄杨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50101006001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清除杂草</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1.荒地清除杂草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浙江路（兴泰路-向阳路）红线外养护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浙江路（高架桥以西）</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2.苗木规格:D16-18cm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1371"/>
        <w:gridCol w:w="1108"/>
        <w:gridCol w:w="2353"/>
        <w:gridCol w:w="512"/>
        <w:gridCol w:w="102"/>
        <w:gridCol w:w="951"/>
        <w:gridCol w:w="1646"/>
        <w:gridCol w:w="1646"/>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60"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3.养护区域：济川路</w:t>
            </w:r>
            <w:r/>
          </w:p>
        </w:tc>
        <w:tc>
          <w:tcPr>
            <w:gridSpan w:val="4"/>
            <w:shd w:val="clear" w:color="auto" w:fill="auto"/>
            <w:tcBorders>
              <w:top w:val="none" w:color="000000" w:sz="4" w:space="0"/>
              <w:left w:val="none" w:color="000000" w:sz="4" w:space="0"/>
              <w:bottom w:val="none" w:color="000000" w:sz="4" w:space="0"/>
              <w:right w:val="none" w:color="000000" w:sz="4" w:space="0"/>
            </w:tcBorders>
            <w:tcW w:w="434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济川路（兴泰路-京泰路）-1</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2.苗木规格:胸径18cm，高度650-700cm，冠幅550-600cm，全冠,分枝点距地面2.5-2.8m,分枝多而健壮,树形优美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2.苗木规格:胸径25cm，高度550-600cm，冠幅450-500cm，树形优美 ,特选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2.苗木规格:胸径25cm，高度550-600cm，冠幅450-500cm，树形优美 ,特选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2.苗木规格:胸径25cm，高度550-600cm，冠幅450-500cm，树形优美 ,特选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2.苗木规格:胸径25cm，高度550-600cm，冠幅450-500cm，树形优美 ,特选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2.苗木规格:高度200cm，密植,2排,6颗/米/排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1.苗木种类:北美枫香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2.苗木规格:胸径15cm，高度400-450cm，冠幅350-400cm，全冠，树干通直，树形自然优美、整齐。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2.苗木规格:地径8cm，高度300-350cm，蓬径280-320cm，全冠 ，四级以上分枝，分支点距地面0.8-1.2m，分枝多而健壮 ，树形优美。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2.苗木规格:地径8cm，高度300-350cm，蓬径300-350cm，不得选用高接苗，一级分枝4枝以上，树形优美，自然全冠 分支点0.8m。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2.苗木规格:地径6cm，高度250-280cm，蓬径220-250cm，原生精品骨里红，全冠移栽苗，分支点距地面0.5-0.7m，树形优美。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1.苗木种类:山茶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2.苗木规格:地径8cm，蓬径150-180cm，全冠，树干通直，树形优美。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2.苗木规格:地径7cm，高度150-200cm，蓬径200-250cm，全冠，树干通直，树形优美，一级分支6支以上，第一分枝点≥0.5m。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1.苗木种类:造型檵木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2.苗木规格:高度150-180cm，蓬径130-150cm，造型优美，枝盘4层以上，三方选型。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1.苗木种类:造型黄杨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2.苗木规格:高度150-180cm，蓬径130-150cm，造型优美，枝盘4层以上，三方选型。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1.苗木种类:造型五针松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2.苗木规格:地径12cm，高度150-180cm，蓬径150-180cm，造型优美，枝盘4层以上，三方选型。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2.苗木规格:地径10cm，高度180-200cm，冠幅200-250cm，实蓬,分支点不小于1.0m,球形饱满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2.苗木规格:高度150cm，冠幅130cm，球形饱满，不脱脚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1.苗木种类:无刺枸骨球B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2.苗木规格:高度100cm，蓬径120cm，球形月季,球形饱满,不脱胶,花朵丰满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2.苗木规格:高度80-100cm，蓬径100cm，球形饱满，不脱脚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1.苗木种类:棒棒糖无刺枸骨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2.苗木规格:地径10cm，高度250-300cm，冠幅200-250cm，分枝点1.2-1.3m,实蓬,球形饱满,三方选型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667.5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2.苗木规格:高度25-30cm，蓬径20-25cm，49丛/平方米花色丰富,红、白、紫、蓝等色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3658.15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2.苗木规格:高度25cm，2-3支/丛，容器苗,10*12寸盆,49丛/平方米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468.9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745.2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1.苗木种类:夏鹃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2.苗木规格:高度20-25cm，冠幅15-20cm，小毛球，49株/m2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3628.3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1084.8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1226.5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976.7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2.苗木规格:高度15cm，蓬径20cm，大杯苗,81株/平方米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611.3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39066.6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济川东路（泰安路--京泰路）原有树木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2.苗木规格:胸径14-20cm，高度500-550cm，冠幅250-300cm、350-400cm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2.苗木规格:胸径14-15cm，高度750-800cm，冠幅300-350cm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2.苗木规格:胸径22-23cm，高度750-800cm，冠幅350-400cm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2.苗木规格:胸径10-11cm，高度280-350cm，冠幅100-150cm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2.苗木规格:胸径15-16cm，高度280-350cm，冠幅200-250cm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50102002049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2.苗木规格:胸径20-21cm，高度280-350cm，冠幅250-300cm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2.苗木规格:胸径11-12cm，高度280-350cm，冠幅150-200cm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2.苗木规格:胸径15-16cm，高度280-350cm，冠幅200-250cm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2.苗木规格:胸径26-27cm，高度750-800cm，冠幅400-450cm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济川路西（兴泰路-泰安路）原有树木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1.种类:杨柳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2.苗木规格:胸径31-40cm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2.苗木规格:胸径四杆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济川路东（泰安路-京泰路）红线外养护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1.苗木种类:北美海棠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2.苗木规格:高度400cm，冠幅350cm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2.苗木规格:高度180cm，冠径180cm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50102002059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50102001029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2.苗木规格:胸径19cm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2.苗木规格:地径10cm，高度350cm，冠幅250cm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济川路（安琪医院对面）</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1.苗木种类:枸骨球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1.苗木种类:红花檵木球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2.苗木规格:高度380-400cm，冠幅250cm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2.苗木规格:D20-22cm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2.苗木规格:D18-20cm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1.苗木种类:枇杷树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50102002072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5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1371"/>
        <w:gridCol w:w="1106"/>
        <w:gridCol w:w="2417"/>
        <w:gridCol w:w="511"/>
        <w:gridCol w:w="102"/>
        <w:gridCol w:w="951"/>
        <w:gridCol w:w="1615"/>
        <w:gridCol w:w="1616"/>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2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4.养护区域：兴工路</w:t>
            </w:r>
            <w:r/>
          </w:p>
        </w:tc>
        <w:tc>
          <w:tcPr>
            <w:gridSpan w:val="4"/>
            <w:shd w:val="clear" w:color="auto" w:fill="auto"/>
            <w:tcBorders>
              <w:top w:val="none" w:color="000000" w:sz="4" w:space="0"/>
              <w:left w:val="none" w:color="000000" w:sz="4" w:space="0"/>
              <w:bottom w:val="none" w:color="000000" w:sz="4" w:space="0"/>
              <w:right w:val="none" w:color="000000" w:sz="4" w:space="0"/>
            </w:tcBorders>
            <w:tcW w:w="428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兴工路（泰安路-京泰路）-1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2.苗木规格:胸径13cm，高度500-550cm，冠幅350-400cm，全冠,分枝点2.5-2.8,不偏冠,姿态优美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2.苗木规格:胸径20cm，高度550-600cm，冠幅350-400cm，全冠,8-10分枝,分支点不少于2.5cm,不偏冠,姿态优美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2.苗木规格:地径12cm，高度300-350cm，冠幅250-280cm，全冠,优选苗,分支点50-80,树形饱满,姿态优美,不偏冠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2.苗木规格:地径10cm，高度300-350cm，冠幅200-250cm，全冠,优选苗,分支点50-80,树形饱满,姿态优美,不偏冠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2.苗木规格:地径8cm，高度250-300cm，冠幅200-250cm，全冠,优选苗,分支点50-80,树形饱满,姿态优美,不偏冠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2.苗木规格:地径10cm，高度250-300cm，冠幅200-250cm，全冠,优选苗,三级以上分支,8-10分枝,树形饱满,姿态优美,不偏冠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2.苗木规格:地径10cm，高度300-350cm，冠幅200-220cm，独杆,棒棒糖造型,姿态优美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1.苗木种类:垂丝海棠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2.苗木规格:地径15cm，高度400-450cm，冠幅350-400cm，全冠,三级以上分支,分支点40-50,树形饱满,姿态优美,不偏冠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2.苗木规格:地径7cm，高度250-300cm，冠幅200-250cm，全冠,8-10分枝,分枝点0.8m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2.苗木规格:地径7cm，高度250-300cm，冠幅150-200cm，全冠,8-10分枝,分枝点0.8m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1.苗木种类:加拿大紫荆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2.苗木规格:地径6cm，高度250-300cm，冠幅200-250cm，全冠,8-10分枝,分枝点0.8m,树形优美,不偏冠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2.苗木规格:高度800-900cm，冠幅500-600cm，全冠,4-6分支,杆径不少于8cm三级以上分支,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2.苗木规格:高度650-700cm，冠幅400-450cm，全冠,7-8分支,杆径不少于6cm三级以上分支, 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1.苗木种类:月季球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2.苗木规格:高度100cm，冠幅120cm，球形月季,球形饱满,不脱胶,花朵丰满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2.苗木规格:高度80-100cm，冠幅100cm，球形饱满，不脱脚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2.苗木规格:高度40cm，蓬径15-20cm，49株/平方米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1.苗木种类:血草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2.苗木规格:高度35-40cm，蓬径20-25cm，36株/平方米,容器苗,5-8分枝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714.8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2.苗木规格:高度25-30cm，蓬径20-25cm，49丛/平方米,花色丰富,红、白、紫、蓝等色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1.苗木种类:黄金菊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2.苗木规格:高度16-20cm，蓬径18-20cm，容器苗,64株/平方米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2.苗木规格:高度15cm，蓬径10cm，64株/平方米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2.苗木规格:高度15cm，大杯苗,81株/平方米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1.苗木种类:细叶麦冬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1837.3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2.苗木规格:高度15cm，冠幅20cm，81株/m2，大杯苗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50102008015</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2.苗木规格:3-4芽/丛,36丛/平方米,容器苗,10x12寸盆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177.2</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10296.8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1.苗木种类:熊掌木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1.苗木种类:网片月季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兴工路（泰安路-京泰路）原有树木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2.苗木规格:胸径5-7cm，冠径100-120cm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2.苗木规格:胸径7-9cm，冠径150-180cm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2.苗木规格:胸径13-15、16-18cm，冠幅160-180、180-200cm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2.苗木规格:胸径20-22cm，冠幅200-260cm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2.苗木规格:地径5-7、7-9cm，冠幅200-220、220-250cm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2.苗木规格:胸径7-9cm，冠径250-300cm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2.苗木规格:胸径10-12cm，冠径340-380cm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2.苗木规格:地径8-10cm，冠径140-150cm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2.苗木规格:胸径12-14cm，冠径150-200cm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兴工路（泰安路-京泰路）红线外养护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50102002020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2.苗木规格:高度280-300cm，冠径280-300cm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2.苗木规格:胸径11-18cm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2.苗木规格:胸径7-10cm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58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43"/>
        <w:gridCol w:w="2535"/>
        <w:gridCol w:w="521"/>
        <w:gridCol w:w="106"/>
        <w:gridCol w:w="741"/>
        <w:gridCol w:w="1633"/>
        <w:gridCol w:w="163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09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5.养护区域：兴业路</w:t>
            </w:r>
            <w:r/>
          </w:p>
        </w:tc>
        <w:tc>
          <w:tcPr>
            <w:gridSpan w:val="4"/>
            <w:shd w:val="clear" w:color="auto" w:fill="auto"/>
            <w:tcBorders>
              <w:top w:val="none" w:color="000000" w:sz="4" w:space="0"/>
              <w:left w:val="none" w:color="000000" w:sz="4" w:space="0"/>
              <w:bottom w:val="none" w:color="000000" w:sz="4" w:space="0"/>
              <w:right w:val="none" w:color="000000" w:sz="4" w:space="0"/>
            </w:tcBorders>
            <w:tcW w:w="411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兴业路（泰顺路-泰康路以东）-1</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2.铺种方式:满铺,百慕达黑麦草草皮,冷季型:暖季型（按5:5考虑）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兴业路（泰顺路-泰康路以东）原有树木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2.苗木规格:胸径8-10cm，冠径250-300cm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2.苗木规格:胸径13-15cm，冠幅350-400cm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2.苗木规格:地径6-8cm，冠幅150-200cm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2.苗木规格:胸径10-12cm，冠幅350-400cm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2.苗木规格:胸径15-17cm，冠幅300-350cm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1.苗木种类:夹竹桃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2.苗木规格:高度250cm以内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2.苗木规格:胸径22-24cm，冠幅600-650cm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1.种类:垂柳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2.胸径或干径:胸径15-17cm，冠幅300-350cm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1.苗木种类:棕榈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2.苗木规格:胸径10-12cm，冠幅150-200cm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2.苗木规格:胸径17-19cm，冠径350-400cm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1.苗木种类:马褂木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2.苗木规格:胸径7-9cm，冠径200-250cm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1.苗木种类:紫花泡桐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2.苗木规格:胸径20-22cm，冠径500-550cm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兴业路（泰顺路-泰康路以东）红线外养护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1.苗木种类:樱花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2.苗木规格:冠径120-150cm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2.苗木规格:冠径130-150cm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2.苗木规格:冠径180-200cm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2.苗木规格:冠径120-150cm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379"/>
        <w:gridCol w:w="1166"/>
        <w:gridCol w:w="2339"/>
        <w:gridCol w:w="529"/>
        <w:gridCol w:w="109"/>
        <w:gridCol w:w="745"/>
        <w:gridCol w:w="1705"/>
        <w:gridCol w:w="1705"/>
      </w:tblGrid>
      <w:tr>
        <w:trPr>
          <w:jc w:val="center"/>
          <w:trHeight w:val="440"/>
        </w:trPr>
        <w:tc>
          <w:tcPr>
            <w:gridSpan w:val="5"/>
            <w:shd w:val="clear" w:color="auto" w:fill="auto"/>
            <w:tcBorders>
              <w:top w:val="none" w:color="000000" w:sz="4" w:space="0"/>
              <w:left w:val="none" w:color="000000" w:sz="4" w:space="0"/>
              <w:bottom w:val="none" w:color="000000" w:sz="4" w:space="0"/>
              <w:right w:val="none" w:color="000000" w:sz="4" w:space="0"/>
            </w:tcBorders>
            <w:tcW w:w="594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6.养护区域：泰盛路（兴工路以北-横六路以南）</w:t>
            </w:r>
            <w:r/>
          </w:p>
        </w:tc>
        <w:tc>
          <w:tcPr>
            <w:gridSpan w:val="4"/>
            <w:shd w:val="clear" w:color="auto" w:fill="auto"/>
            <w:tcBorders>
              <w:top w:val="none" w:color="000000" w:sz="4" w:space="0"/>
              <w:left w:val="none" w:color="000000" w:sz="4" w:space="0"/>
              <w:bottom w:val="none" w:color="000000" w:sz="4" w:space="0"/>
              <w:right w:val="none" w:color="000000" w:sz="4" w:space="0"/>
            </w:tcBorders>
            <w:tcW w:w="426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泰盛路（兴工路以北-横六路以南）</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2.苗木规格:胸径25cm，高度650-750cm，冠幅550-600cm，全冠，三级以上分支，姿态优美，不偏冠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50102001039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2.苗木规格:胸径25cm，高度700-750cm，冠幅450-500cm，全冠，三级以上分支，姿态优美，不偏冠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2.苗木规格:胸径20cm，高度550-600cm，冠幅400-450cm，全冠，三级以上分支，姿态优美，不偏冠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1.苗木种类:五角枫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2.苗木规格:胸径20cm，高度600-650cm，冠幅450-500cm，全冠，三级以上分支，姿态优美，不偏冠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2.苗木规格:胸径15cm，高度400-450cm，冠幅350-400cm，分支点2.8-3.0m，树形优美，冠幅饱满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2.苗木规格:D8cm，高度300-350cm，冠幅300-350cm，精品苗，全冠，姿态优美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1.苗木种类:染井吉野樱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2.苗木规格:D8cm，高度300-350cm，冠幅250-300cm，精品苗，全冠，姿态优美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1.苗木种类:茶花棒棒糖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2.苗木规格:高度150-200cm，冠幅250cm，球形饱满,分支点不小于1.3m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2.苗木规格:高度180cm，冠幅120cm，球形饱满,分支点不小于1.3m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1.苗木种类:结香球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2.苗木规格:高度80-100cm，冠幅120cm，球形饱满，不脱脚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50102002064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2.苗木规格:高度120cm，冠幅120cm，球形饱满，不脱脚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50102008070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2.苗木规格:高度＞40cm，冠幅20cm，9丛/平方米,容器苗中盆21x26寸盆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2.苗木规格:高度30cm，冠幅20cm，36株/平方米,容器苗,120红盆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2.苗木规格:高度25-30cm，冠幅20-25cm，64丛/平方米,花色丰富,红,白,紫,蓝等色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2.苗木规格:高度25cm，冠幅2-3支/丛，容器苗,10x12寸盆,49丛/平方米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50102008065</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1.苗木种类:夏鹃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2.苗木规格:高度20-25cm，冠幅15-20cm，小毛球,49株/平方米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2.苗木规格:高度20cm，冠幅20cm，每丛5芽,64丛/平方米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1.苗木种类:迷迭香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2.苗木规格:高度20cm，冠幅15cm，9丛/平方米,容器苗,10x12寸盆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1.苗木种类:矾根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2.苗木规格:高度16-20cm，冠幅18-20cm，容器苗,81株/平方米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2.苗木规格:高度15cm，冠幅20cm，大杯苗,81株/平方米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50102008062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2.苗木规格:高度15cm，81盆/平方米,大杯苗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1.苗木种类:美女樱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1.苗木种类:葱兰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50102008056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50102008042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2.苗木规格:36丛/平方米,容器苗,10*12寸盆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50102008071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1.苗木种类:紫花鼠尾草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2.苗木规格:高度30cm，64盆/平方米,容器苗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50102008037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1.苗木种类:银叶菊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1.苗木种类:草坪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2.苗木规格:满铺,百慕大+黑麦草混播，冷季型:暖季型（按5:5考虑）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12982</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1.苗木种类:发青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2.苗木规格:高度220cm，双排，12株/m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1.苗木种类:发青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2.苗木规格:高度100cm，双排，12株/m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850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7"/>
        <w:gridCol w:w="1373"/>
        <w:gridCol w:w="1161"/>
        <w:gridCol w:w="2268"/>
        <w:gridCol w:w="527"/>
        <w:gridCol w:w="108"/>
        <w:gridCol w:w="847"/>
        <w:gridCol w:w="1697"/>
        <w:gridCol w:w="1697"/>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56"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7.养护区域：金东路</w:t>
            </w:r>
            <w:r/>
          </w:p>
        </w:tc>
        <w:tc>
          <w:tcPr>
            <w:gridSpan w:val="4"/>
            <w:shd w:val="clear" w:color="auto" w:fill="auto"/>
            <w:tcBorders>
              <w:top w:val="none" w:color="000000" w:sz="4" w:space="0"/>
              <w:left w:val="none" w:color="000000" w:sz="4" w:space="0"/>
              <w:bottom w:val="none" w:color="000000" w:sz="4" w:space="0"/>
              <w:right w:val="none" w:color="000000" w:sz="4" w:space="0"/>
            </w:tcBorders>
            <w:tcW w:w="4349"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金东路（迎春路-育才路）</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2.苗木规格:胸径15cm，高度550-600cm，冠幅350-400cm，分支点&gt;1.8m，树形优美，冠幅饱满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金东路（海姜大道-育才路）原有树木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2.苗木规格:胸径24-30cm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2.苗木规格:胸径34-38cm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1.苗木种类:无患子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2.苗木规格:胸径22-28cm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1.苗木种类:合欢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2.苗木规格:高度800cm，冠幅400cm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50102001059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1.苗木种类:乌桕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1.苗木种类:早樱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1.苗木种类:早樱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1.苗木种类:白玉兰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50102001069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2.苗木规格:高度300cm，冠径300cm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1.苗木种类:丛生茶花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2.苗木规格:高度200cm，冠径180cm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2.苗木规格:高度400cm，冠径300cm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2.苗木规格:高度50cm，冠径50cm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2.苗木规格:高度180cm，冠径200cm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2.苗木规格:高度200cm，冠径250cm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1.苗木种类:红花檵木球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2.苗木规格:高度120cm，冠径120cm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2.苗木规格:高度150cm，冠径150cm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1.苗木种类:夹竹桃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2.苗木规格:高度300cm，冠径200cm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430.3</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2.苗木规格:高度10cm，蓬径10cm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521.4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1.苗木种类:栀子花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1.苗木种类:水果蓝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1.苗木种类:金边黄杨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2.苗木规格:高度40cm，蓬径60cm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1.苗木种类:棣棠花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1.苗木种类:兔尾草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1.苗木种类:金丝桃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2.苗木规格:高度10cm，蓬径10cm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1.苗木种类:马鞭草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2.苗木规格:高度10cm，蓬径20cm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149.1</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1.苗木种类:黄锦带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1.苗木种类:美人蕉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1.苗木种类:桃叶珊瑚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1.苗木种类:大吴风草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1.苗木种类:西伯利亚鸢尾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50102007013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1.苗木种类:龙柏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1.苗木种类:假连翘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2.苗木规格:高度30cm，蓬径40cm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2057.6</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1.苗木种类:花池麦冬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2.苗木规格:高度10cm，蓬径10cm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50101006001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清除杂草</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1.荒地清除杂草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金东花园（永吉路-金东路）</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50102001073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0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377"/>
        <w:gridCol w:w="1164"/>
        <w:gridCol w:w="2365"/>
        <w:gridCol w:w="528"/>
        <w:gridCol w:w="108"/>
        <w:gridCol w:w="850"/>
        <w:gridCol w:w="1642"/>
        <w:gridCol w:w="164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6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8.养护区域：向阳路</w:t>
            </w:r>
            <w:r/>
          </w:p>
        </w:tc>
        <w:tc>
          <w:tcPr>
            <w:gridSpan w:val="4"/>
            <w:shd w:val="clear" w:color="auto" w:fill="auto"/>
            <w:tcBorders>
              <w:top w:val="none" w:color="000000" w:sz="4" w:space="0"/>
              <w:left w:val="none" w:color="000000" w:sz="4" w:space="0"/>
              <w:bottom w:val="none" w:color="000000" w:sz="4" w:space="0"/>
              <w:right w:val="none" w:color="000000" w:sz="4" w:space="0"/>
            </w:tcBorders>
            <w:tcW w:w="424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向阳路（海姜大道-浙江路）-1</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1.苗木种类:北美海棠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2.苗木规格:D7cm，高度250-300cm，冠幅200-220cm，株距4米,分支点0.5-0.8m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1.苗木种类:花叶芒草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2.苗木规格:高度＞40cm，冠幅20cm，9丛/平方米,容器苗中盆21x26寸盆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17.91</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1.苗木种类:八仙花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2.苗木规格:高度35-40cm，冠幅20-25cm，36株/平方米,容器苗,5-8分枝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1.苗木种类:紫娇花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2.苗木规格:高度25cm，冠幅2-3支/丛，容器苗,10x12寸盆,49丛/平方米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64.19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129.02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1.苗木种类:奉花月季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167.22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28.99</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1.苗木种类:紫花地丁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1.苗木种类:翠芦莉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2.苗木规格:3-4枝/丛，49丛/平方米，容器苗，10*12寸盆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1.苗木种类:花叶玉簪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2.苗木规格:冠幅3-4芽/丛，36丛/平方米,容器苗,10x12寸盆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1.苗木种类:美丽月见草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213.46</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1.苗木种类:草皮，冷季型:暖季型（按5:5考虑）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972.18</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向阳路（海姜大道-浙江路）原有树木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2.苗木规格:冠幅200cm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56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39"/>
        <w:gridCol w:w="2419"/>
        <w:gridCol w:w="520"/>
        <w:gridCol w:w="106"/>
        <w:gridCol w:w="846"/>
        <w:gridCol w:w="1641"/>
        <w:gridCol w:w="1641"/>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7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9.养护区域：育才路</w:t>
            </w:r>
            <w:r/>
          </w:p>
        </w:tc>
        <w:tc>
          <w:tcPr>
            <w:gridSpan w:val="4"/>
            <w:shd w:val="clear" w:color="auto" w:fill="auto"/>
            <w:tcBorders>
              <w:top w:val="none" w:color="000000" w:sz="4" w:space="0"/>
              <w:left w:val="none" w:color="000000" w:sz="4" w:space="0"/>
              <w:bottom w:val="none" w:color="000000" w:sz="4" w:space="0"/>
              <w:right w:val="none" w:color="000000" w:sz="4" w:space="0"/>
            </w:tcBorders>
            <w:tcW w:w="423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育才路（泰安路-金东路）-1</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2.苗木规格:胸径15cm，高度400-450cm，冠幅350-400cm，分支点2.3-2.5m,树形优美，冠幅饱满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50102002015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2.苗木规格:地径10cm，高度250-300cm，冠幅200-250cm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2.苗木规格:高度20cm，冠幅10-15cm，3-5芽/丛,64株/平方米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743.11</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2.苗木规格:高度15cm，冠幅20cm，容器苗,81株/平方米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110.76</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1.苗木种类:丰花月季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2.苗木规格:高度20-25cm，蓬径20-25cm，49株/平方米,不露土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91.36</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114.65</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1.苗木种类:金叶佛甲草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2.苗木规格:高度15cm，81盆/平方米,容器苗,120红盆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380.44</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2.苗木规格:高度20cm，蓬径20cm，64株/平方米,容器苗,10x12寸盆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712.89</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2.苗木规格:胸径25-26cm，冠幅320-450cm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育才路（泰安路-金东路）红线外养护</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371"/>
        <w:gridCol w:w="1148"/>
        <w:gridCol w:w="2459"/>
        <w:gridCol w:w="523"/>
        <w:gridCol w:w="107"/>
        <w:gridCol w:w="737"/>
        <w:gridCol w:w="1703"/>
        <w:gridCol w:w="170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02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10.养护区域：兴园路</w:t>
            </w:r>
            <w:r/>
          </w:p>
        </w:tc>
        <w:tc>
          <w:tcPr>
            <w:gridSpan w:val="4"/>
            <w:shd w:val="clear" w:color="auto" w:fill="auto"/>
            <w:tcBorders>
              <w:top w:val="none" w:color="000000" w:sz="4" w:space="0"/>
              <w:left w:val="none" w:color="000000" w:sz="4" w:space="0"/>
              <w:bottom w:val="none" w:color="000000" w:sz="4" w:space="0"/>
              <w:right w:val="none" w:color="000000" w:sz="4" w:space="0"/>
            </w:tcBorders>
            <w:tcW w:w="4250"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兴园路（泰康路-向阳路）原有树木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2.苗木规格:胸径22-30cm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2.苗木规格:胸径30-36cm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1.苗木种类:高杆女贞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2.苗木规格:高度20cm，蓬径20cm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3"/>
        </w:trPr>
        <w:tc>
          <w:tcPr>
            <w:gridSpan w:val="8"/>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9"/>
        <w:gridCol w:w="1371"/>
        <w:gridCol w:w="1130"/>
        <w:gridCol w:w="2313"/>
        <w:gridCol w:w="518"/>
        <w:gridCol w:w="105"/>
        <w:gridCol w:w="723"/>
        <w:gridCol w:w="1763"/>
        <w:gridCol w:w="176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5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11.养护区域：海姜大道</w:t>
            </w:r>
            <w:r/>
          </w:p>
        </w:tc>
        <w:tc>
          <w:tcPr>
            <w:gridSpan w:val="4"/>
            <w:shd w:val="clear" w:color="auto" w:fill="auto"/>
            <w:tcBorders>
              <w:top w:val="none" w:color="000000" w:sz="4" w:space="0"/>
              <w:left w:val="none" w:color="000000" w:sz="4" w:space="0"/>
              <w:bottom w:val="none" w:color="000000" w:sz="4" w:space="0"/>
              <w:right w:val="none" w:color="000000" w:sz="4" w:space="0"/>
            </w:tcBorders>
            <w:tcW w:w="435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海姜大道邮局西（路南）</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2.苗木规格:D28-30cm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2.苗木规格:D8-10cm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1.苗木种类:柿树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1.苗木种类:石榴树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2.苗木规格:D6-8cm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2.苗木规格:D18-20cm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2.苗木规格:D24-26cm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1.苗木种类:棕榈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2.苗木规格:D16-18cm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海姜大道邮局西（路北）</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2.苗木规格:P180cm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1.苗木种类:广玉兰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2.苗木规格:D20-22cm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2.苗木规格:D12-14cm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1.苗木种类:雪松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2.苗木规格:D18-20cm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2.苗木规格:D28-30cm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1.苗木种类:银杏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2.苗木规格:D24-26cm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44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1391"/>
        <w:gridCol w:w="1176"/>
        <w:gridCol w:w="2420"/>
        <w:gridCol w:w="534"/>
        <w:gridCol w:w="110"/>
        <w:gridCol w:w="752"/>
        <w:gridCol w:w="1644"/>
        <w:gridCol w:w="1644"/>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605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12.养护区域：春兰路西</w:t>
            </w:r>
            <w:r/>
          </w:p>
        </w:tc>
        <w:tc>
          <w:tcPr>
            <w:gridSpan w:val="4"/>
            <w:shd w:val="clear" w:color="auto" w:fill="auto"/>
            <w:tcBorders>
              <w:top w:val="none" w:color="000000" w:sz="4" w:space="0"/>
              <w:left w:val="none" w:color="000000" w:sz="4" w:space="0"/>
              <w:bottom w:val="none" w:color="000000" w:sz="4" w:space="0"/>
              <w:right w:val="none" w:color="000000" w:sz="4" w:space="0"/>
            </w:tcBorders>
            <w:tcW w:w="4150"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玉堂花园南门（春兰路以西）</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2.苗木规格:H280-300cm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2.苗木规格:D10-12cm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88"/>
        </w:trPr>
        <w:tc>
          <w:tcPr>
            <w:gridSpan w:val="8"/>
            <w:shd w:val="clear" w:color="auto" w:fill="auto"/>
            <w:tcBorders>
              <w:top w:val="single" w:color="000000" w:sz="4" w:space="0"/>
              <w:left w:val="single" w:color="000000" w:sz="4" w:space="0"/>
              <w:bottom w:val="single" w:color="000000" w:sz="4" w:space="0"/>
              <w:right w:val="single" w:color="000000" w:sz="4" w:space="0"/>
            </w:tcBorders>
            <w:tcW w:w="856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0"/>
        <w:gridCol w:w="1381"/>
        <w:gridCol w:w="1167"/>
        <w:gridCol w:w="2357"/>
        <w:gridCol w:w="530"/>
        <w:gridCol w:w="109"/>
        <w:gridCol w:w="746"/>
        <w:gridCol w:w="1692"/>
        <w:gridCol w:w="1693"/>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65"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13.养护区域：兴陵路</w:t>
            </w:r>
            <w:r/>
          </w:p>
        </w:tc>
        <w:tc>
          <w:tcPr>
            <w:gridSpan w:val="4"/>
            <w:shd w:val="clear" w:color="auto" w:fill="auto"/>
            <w:tcBorders>
              <w:top w:val="none" w:color="000000" w:sz="4" w:space="0"/>
              <w:left w:val="none" w:color="000000" w:sz="4" w:space="0"/>
              <w:bottom w:val="none" w:color="000000" w:sz="4" w:space="0"/>
              <w:right w:val="none" w:color="000000" w:sz="4" w:space="0"/>
            </w:tcBorders>
            <w:tcW w:w="4240"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兴陵路（泰安路-泰祥路）-1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1.草皮种类:百慕大黑麦草混播草皮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2.铺种方式:满铺,百慕大+黑麦草混播，冷季型:暖季型（按5:5考虑）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兴陵路（泰安路-泰祥路）原有树木</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2.苗木规格:胸径14-16cm，冠幅300-350cm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1.苗木种类:杉树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2.苗木规格:胸径9-11cm，冠幅250-300cm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02"/>
        <w:gridCol w:w="1185"/>
        <w:gridCol w:w="2331"/>
        <w:gridCol w:w="538"/>
        <w:gridCol w:w="110"/>
        <w:gridCol w:w="758"/>
        <w:gridCol w:w="1672"/>
        <w:gridCol w:w="1672"/>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93"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14.养护区域：横六路</w:t>
            </w:r>
            <w:r/>
          </w:p>
        </w:tc>
        <w:tc>
          <w:tcPr>
            <w:gridSpan w:val="4"/>
            <w:shd w:val="clear" w:color="auto" w:fill="auto"/>
            <w:tcBorders>
              <w:top w:val="none" w:color="000000" w:sz="4" w:space="0"/>
              <w:left w:val="none" w:color="000000" w:sz="4" w:space="0"/>
              <w:bottom w:val="none" w:color="000000" w:sz="4" w:space="0"/>
              <w:right w:val="none" w:color="000000" w:sz="4" w:space="0"/>
            </w:tcBorders>
            <w:tcW w:w="4212"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横六路（泰康路-泰盛路）</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53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both"/>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2"/>
        <w:gridCol w:w="1371"/>
        <w:gridCol w:w="1139"/>
        <w:gridCol w:w="2313"/>
        <w:gridCol w:w="521"/>
        <w:gridCol w:w="106"/>
        <w:gridCol w:w="951"/>
        <w:gridCol w:w="1641"/>
        <w:gridCol w:w="1641"/>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66"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15.养护区域：泰安路</w:t>
            </w:r>
            <w:r/>
          </w:p>
        </w:tc>
        <w:tc>
          <w:tcPr>
            <w:gridSpan w:val="4"/>
            <w:shd w:val="clear" w:color="auto" w:fill="auto"/>
            <w:tcBorders>
              <w:top w:val="none" w:color="000000" w:sz="4" w:space="0"/>
              <w:left w:val="none" w:color="000000" w:sz="4" w:space="0"/>
              <w:bottom w:val="none" w:color="000000" w:sz="4" w:space="0"/>
              <w:right w:val="none" w:color="000000" w:sz="4" w:space="0"/>
            </w:tcBorders>
            <w:tcW w:w="4339"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036"/>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泰安路（匝道下两侧侧分带）原有树木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714"/>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1.苗木种类:八角金盘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1647.25</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14"/>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6538.64</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1.苗木种类:大叶黄杨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4725.15</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1.苗木种类:金森女贞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2.苗木规格:高度25cm，蓬径30cm，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2721.6</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77"/>
        </w:trPr>
        <w:tc>
          <w:tcPr>
            <w:gridSpan w:val="8"/>
            <w:shd w:val="clear" w:color="auto" w:fill="auto"/>
            <w:tcBorders>
              <w:top w:val="single" w:color="000000" w:sz="4" w:space="0"/>
              <w:left w:val="single" w:color="000000" w:sz="4" w:space="0"/>
              <w:bottom w:val="single" w:color="000000" w:sz="4" w:space="0"/>
              <w:right w:val="single" w:color="000000" w:sz="4" w:space="0"/>
            </w:tcBorders>
            <w:tcW w:w="856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371"/>
        <w:gridCol w:w="1133"/>
        <w:gridCol w:w="2367"/>
        <w:gridCol w:w="519"/>
        <w:gridCol w:w="105"/>
        <w:gridCol w:w="736"/>
        <w:gridCol w:w="1727"/>
        <w:gridCol w:w="1727"/>
      </w:tblGrid>
      <w:tr>
        <w:trPr>
          <w:jc w:val="center"/>
          <w:trHeight w:val="340"/>
        </w:trPr>
        <w:tc>
          <w:tcPr>
            <w:gridSpan w:val="5"/>
            <w:shd w:val="clear" w:color="auto" w:fill="auto"/>
            <w:tcBorders>
              <w:top w:val="none" w:color="000000" w:sz="4" w:space="0"/>
              <w:left w:val="none" w:color="000000" w:sz="4" w:space="0"/>
              <w:bottom w:val="none" w:color="000000" w:sz="4" w:space="0"/>
              <w:right w:val="none" w:color="000000" w:sz="4" w:space="0"/>
            </w:tcBorders>
            <w:tcW w:w="5910"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16.养护区域：春华路（森园路—运河东路）</w:t>
            </w:r>
            <w:r/>
          </w:p>
        </w:tc>
        <w:tc>
          <w:tcPr>
            <w:gridSpan w:val="4"/>
            <w:shd w:val="clear" w:color="auto" w:fill="auto"/>
            <w:tcBorders>
              <w:top w:val="none" w:color="000000" w:sz="4" w:space="0"/>
              <w:left w:val="none" w:color="000000" w:sz="4" w:space="0"/>
              <w:bottom w:val="none" w:color="000000" w:sz="4" w:space="0"/>
              <w:right w:val="none" w:color="000000" w:sz="4" w:space="0"/>
            </w:tcBorders>
            <w:tcW w:w="4295"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6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春华路（森园路—运河东路）</w:t>
            </w:r>
            <w:r/>
          </w:p>
        </w:tc>
        <w:tc>
          <w:tcPr>
            <w:shd w:val="clear" w:color="auto" w:fill="auto"/>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0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2135</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2"/>
        <w:gridCol w:w="1412"/>
        <w:gridCol w:w="1194"/>
        <w:gridCol w:w="2117"/>
        <w:gridCol w:w="542"/>
        <w:gridCol w:w="111"/>
        <w:gridCol w:w="763"/>
        <w:gridCol w:w="1762"/>
        <w:gridCol w:w="1762"/>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07"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17.养护区域：规划支路</w:t>
            </w:r>
            <w:r/>
          </w:p>
        </w:tc>
        <w:tc>
          <w:tcPr>
            <w:gridSpan w:val="4"/>
            <w:shd w:val="clear" w:color="auto" w:fill="auto"/>
            <w:tcBorders>
              <w:top w:val="none" w:color="000000" w:sz="4" w:space="0"/>
              <w:left w:val="none" w:color="000000" w:sz="4" w:space="0"/>
              <w:bottom w:val="none" w:color="000000" w:sz="4" w:space="0"/>
              <w:right w:val="none" w:color="000000" w:sz="4" w:space="0"/>
            </w:tcBorders>
            <w:tcW w:w="4398"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规划支路</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0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3620</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44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371"/>
        <w:gridCol w:w="1148"/>
        <w:gridCol w:w="2374"/>
        <w:gridCol w:w="524"/>
        <w:gridCol w:w="107"/>
        <w:gridCol w:w="739"/>
        <w:gridCol w:w="1709"/>
        <w:gridCol w:w="1709"/>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941"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18.养护区域：芦花路</w:t>
            </w:r>
            <w:r/>
          </w:p>
        </w:tc>
        <w:tc>
          <w:tcPr>
            <w:gridSpan w:val="4"/>
            <w:shd w:val="clear" w:color="auto" w:fill="auto"/>
            <w:tcBorders>
              <w:top w:val="none" w:color="000000" w:sz="4" w:space="0"/>
              <w:left w:val="none" w:color="000000" w:sz="4" w:space="0"/>
              <w:bottom w:val="none" w:color="000000" w:sz="4" w:space="0"/>
              <w:right w:val="none" w:color="000000" w:sz="4" w:space="0"/>
            </w:tcBorders>
            <w:tcW w:w="4264"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芦花路</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50102001001</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49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1391"/>
        <w:gridCol w:w="1176"/>
        <w:gridCol w:w="2299"/>
        <w:gridCol w:w="643"/>
        <w:gridCol w:w="752"/>
        <w:gridCol w:w="1705"/>
        <w:gridCol w:w="1705"/>
      </w:tblGrid>
      <w:tr>
        <w:trPr>
          <w:jc w:val="center"/>
          <w:trHeight w:val="681"/>
        </w:trPr>
        <w:tc>
          <w:tcPr>
            <w:gridSpan w:val="8"/>
            <w:shd w:val="clear" w:color="auto" w:fill="auto"/>
            <w:tcBorders>
              <w:top w:val="none" w:color="000000" w:sz="4" w:space="0"/>
              <w:left w:val="none" w:color="000000" w:sz="4" w:space="0"/>
              <w:bottom w:val="none" w:color="000000" w:sz="4" w:space="0"/>
              <w:right w:val="none" w:color="000000" w:sz="4" w:space="0"/>
            </w:tcBorders>
            <w:tcW w:w="1020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19.养护区域：泰盛路（育才路-冯塘路、兴陵路-凤凰路）</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1051"/>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泰盛路（育才路-冯塘路、兴陵路-凤凰路）</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1.苗木种类:造型黄杨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1.苗木种类:棒棒糖月季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1.苗木种类:红花继木球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1.苗木种类:亮晶女贞球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2.苗木规格:蓬径120cm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1.苗木种类:三叶草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028"/>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1.苗木种类:大花六道木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2.苗木规格:高度30-35cm；冠幅25-30cm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91"/>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1.苗木种类:常绿萱草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2.苗木规格:高度20cm，冠幅10cm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028"/>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1.苗木种类:常绿鸢尾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2.苗木规格:高度25-30cm，冠幅20-25cm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028"/>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1.苗木种类:欧石竹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2.苗木规格:高度10cm，冠幅15cm，81株/平方米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65"/>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2.苗木规格:高度30cm，冠幅20cm，小毛球,49株/平方米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028"/>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1.苗木种类:火焰南天竹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2.苗木规格:高度25cm，冠幅20cm，36株/平方米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76"/>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1.苗木种类:花叶络石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17"/>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1.苗木种类:茶梅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2.苗木规格:高度20-25cm，冠幅20-25cm，小毛球,49株/平方米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65"/>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1.苗木种类:金叶石菖蒲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2.苗木规格:高度20cm，冠幅20cm，每丛5芽,64丛/平方米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1.苗木种类:时令草花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7"/>
            <w:shd w:val="clear" w:color="auto" w:fill="auto"/>
            <w:tcBorders>
              <w:top w:val="single" w:color="000000" w:sz="4" w:space="0"/>
              <w:left w:val="single" w:color="000000" w:sz="4" w:space="0"/>
              <w:bottom w:val="single" w:color="000000" w:sz="4" w:space="0"/>
              <w:right w:val="single" w:color="000000" w:sz="4" w:space="0"/>
            </w:tcBorders>
            <w:tcW w:w="850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3"/>
        <w:gridCol w:w="1371"/>
        <w:gridCol w:w="1134"/>
        <w:gridCol w:w="2350"/>
        <w:gridCol w:w="521"/>
        <w:gridCol w:w="106"/>
        <w:gridCol w:w="737"/>
        <w:gridCol w:w="1731"/>
        <w:gridCol w:w="1732"/>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99"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20.养护区域：凤凰路、海姜大道、迎春路增绿</w:t>
            </w:r>
            <w:r/>
          </w:p>
        </w:tc>
        <w:tc>
          <w:tcPr>
            <w:gridSpan w:val="4"/>
            <w:shd w:val="clear" w:color="auto" w:fill="auto"/>
            <w:tcBorders>
              <w:top w:val="none" w:color="000000" w:sz="4" w:space="0"/>
              <w:left w:val="none" w:color="000000" w:sz="4" w:space="0"/>
              <w:bottom w:val="none" w:color="000000" w:sz="4" w:space="0"/>
              <w:right w:val="none" w:color="000000" w:sz="4" w:space="0"/>
            </w:tcBorders>
            <w:tcW w:w="4306"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凤凰路绿化</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2.苗木规格:高度200cm以内，双排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50102001017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2.苗木规格:蓬径200-250cm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海姜大道拐角绿化</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2.苗木规格:H=15cm，P=10cm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1.苗木种类:二月兰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1.苗木种类:细叶芒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2.苗木规格:H＞60cm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50102005002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养护绿篱</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2.苗木规格:高度200cm以内，双排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迎春路绿篱</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50102006002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养护攀缘植物</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1.苗木种类:蔷薇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50102006003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养护攀缘植物</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1.苗木种类:花叶蔓长春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47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3"/>
        <w:gridCol w:w="1371"/>
        <w:gridCol w:w="1141"/>
        <w:gridCol w:w="2340"/>
        <w:gridCol w:w="521"/>
        <w:gridCol w:w="106"/>
        <w:gridCol w:w="741"/>
        <w:gridCol w:w="1731"/>
        <w:gridCol w:w="1731"/>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96"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21.养护区域：凤凰东路（泰康路以东）</w:t>
            </w:r>
            <w:r/>
          </w:p>
        </w:tc>
        <w:tc>
          <w:tcPr>
            <w:gridSpan w:val="4"/>
            <w:shd w:val="clear" w:color="auto" w:fill="auto"/>
            <w:tcBorders>
              <w:top w:val="none" w:color="000000" w:sz="4" w:space="0"/>
              <w:left w:val="none" w:color="000000" w:sz="4" w:space="0"/>
              <w:bottom w:val="none" w:color="000000" w:sz="4" w:space="0"/>
              <w:right w:val="none" w:color="000000" w:sz="4" w:space="0"/>
            </w:tcBorders>
            <w:tcW w:w="4309"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凤凰东路（泰康路以东）</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1.苗木种类:栾树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1.苗木种类:桂花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50102002001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2.苗木规格:地径10cm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13110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7"/>
        </w:trPr>
        <w:tc>
          <w:tcPr>
            <w:gridSpan w:val="8"/>
            <w:shd w:val="clear" w:color="auto" w:fill="auto"/>
            <w:tcBorders>
              <w:top w:val="single" w:color="000000" w:sz="4" w:space="0"/>
              <w:left w:val="single" w:color="000000" w:sz="4" w:space="0"/>
              <w:bottom w:val="single" w:color="000000" w:sz="4" w:space="0"/>
              <w:right w:val="single" w:color="000000" w:sz="4" w:space="0"/>
            </w:tcBorders>
            <w:tcW w:w="847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6"/>
        <w:gridCol w:w="1527"/>
        <w:gridCol w:w="1291"/>
        <w:gridCol w:w="1427"/>
        <w:gridCol w:w="586"/>
        <w:gridCol w:w="120"/>
        <w:gridCol w:w="825"/>
        <w:gridCol w:w="1921"/>
        <w:gridCol w:w="1922"/>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417"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22.养护区域：永吉路</w:t>
            </w:r>
            <w:r/>
          </w:p>
        </w:tc>
        <w:tc>
          <w:tcPr>
            <w:gridSpan w:val="4"/>
            <w:shd w:val="clear" w:color="auto" w:fill="auto"/>
            <w:tcBorders>
              <w:top w:val="none" w:color="000000" w:sz="4" w:space="0"/>
              <w:left w:val="none" w:color="000000" w:sz="4" w:space="0"/>
              <w:bottom w:val="none" w:color="000000" w:sz="4" w:space="0"/>
              <w:right w:val="none" w:color="000000" w:sz="4" w:space="0"/>
            </w:tcBorders>
            <w:tcW w:w="4788"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永吉路</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554"/>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2.苗木规格:胸径10-20cm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0"/>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50102001042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1.苗木种类:法桐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2.苗木规格:胸径20-30cm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50102006001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养护攀缘植物</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1.苗木种类:蔷薇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50102006002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养护攀缘植物</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1.苗木种类:北海道黄杨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50102008007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养护花卉</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1.苗木种类:小苗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02"/>
        </w:trPr>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92"/>
        </w:trPr>
        <w:tc>
          <w:tcPr>
            <w:gridSpan w:val="8"/>
            <w:shd w:val="clear" w:color="auto" w:fill="auto"/>
            <w:tcBorders>
              <w:top w:val="single" w:color="000000" w:sz="4" w:space="0"/>
              <w:left w:val="single" w:color="000000" w:sz="4" w:space="0"/>
              <w:bottom w:val="single" w:color="000000" w:sz="4" w:space="0"/>
              <w:right w:val="single" w:color="000000" w:sz="4" w:space="0"/>
            </w:tcBorders>
            <w:tcW w:w="8283"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tbl>
      <w:tblPr>
        <w:tblStyle w:val="80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3"/>
        <w:gridCol w:w="1371"/>
        <w:gridCol w:w="1140"/>
        <w:gridCol w:w="2296"/>
        <w:gridCol w:w="522"/>
        <w:gridCol w:w="106"/>
        <w:gridCol w:w="736"/>
        <w:gridCol w:w="1755"/>
        <w:gridCol w:w="1756"/>
      </w:tblGrid>
      <w:tr>
        <w:trPr>
          <w:jc w:val="center"/>
          <w:trHeight w:val="474"/>
        </w:trPr>
        <w:tc>
          <w:tcPr>
            <w:gridSpan w:val="5"/>
            <w:shd w:val="clear" w:color="auto" w:fill="auto"/>
            <w:tcBorders>
              <w:top w:val="none" w:color="000000" w:sz="4" w:space="0"/>
              <w:left w:val="none" w:color="000000" w:sz="4" w:space="0"/>
              <w:bottom w:val="none" w:color="000000" w:sz="4" w:space="0"/>
              <w:right w:val="none" w:color="000000" w:sz="4" w:space="0"/>
            </w:tcBorders>
            <w:tcW w:w="5852" w:type="dxa"/>
            <w:vAlign w:val="bottom"/>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23.养护区域：五岔河路</w:t>
            </w:r>
            <w:r/>
          </w:p>
        </w:tc>
        <w:tc>
          <w:tcPr>
            <w:gridSpan w:val="4"/>
            <w:shd w:val="clear" w:color="auto" w:fill="auto"/>
            <w:tcBorders>
              <w:top w:val="none" w:color="000000" w:sz="4" w:space="0"/>
              <w:left w:val="none" w:color="000000" w:sz="4" w:space="0"/>
              <w:bottom w:val="none" w:color="000000" w:sz="4" w:space="0"/>
              <w:right w:val="none" w:color="000000" w:sz="4" w:space="0"/>
            </w:tcBorders>
            <w:tcW w:w="4353" w:type="dxa"/>
            <w:vAlign w:val="bottom"/>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项目特征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全费用投标合价(元)</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五岔河路</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066"/>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50102007004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养护色带</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1.苗木种类:兰花三七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17"/>
        </w:trPr>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50102012001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1.草皮种类:百慕大混播黑麦草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2.铺种方式:满铺，冷季型:暖季型（按5:5考虑）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3.养护期:二年III级养护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90"/>
        </w:trPr>
        <w:tc>
          <w:tcPr>
            <w:gridSpan w:val="8"/>
            <w:shd w:val="clear" w:color="auto" w:fill="auto"/>
            <w:tcBorders>
              <w:top w:val="single" w:color="000000" w:sz="4" w:space="0"/>
              <w:left w:val="single" w:color="000000" w:sz="4" w:space="0"/>
              <w:bottom w:val="single" w:color="000000" w:sz="4" w:space="0"/>
              <w:right w:val="single" w:color="000000" w:sz="4" w:space="0"/>
            </w:tcBorders>
            <w:tcW w:w="8449"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righ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jc w:val="both"/>
        <w:rPr>
          <w:rFonts w:hint="eastAsia" w:ascii="宋体" w:hAnsi="宋体" w:eastAsia="宋体" w:cs="宋体"/>
          <w:b/>
          <w:bCs/>
          <w:i w:val="0"/>
          <w:iCs w:val="0"/>
          <w:color w:val="auto"/>
          <w:sz w:val="16"/>
          <w:szCs w:val="16"/>
          <w:highlight w:val="none"/>
          <w:u w:val="none"/>
          <w:lang w:val="en-US" w:eastAsia="zh-CN" w:bidi="ar"/>
        </w:rPr>
      </w:pPr>
      <w:r>
        <w:rPr>
          <w:rFonts w:hint="eastAsia" w:ascii="宋体" w:hAnsi="宋体" w:eastAsia="宋体" w:cs="宋体"/>
          <w:b/>
          <w:bCs/>
          <w:i w:val="0"/>
          <w:iCs w:val="0"/>
          <w:color w:val="auto"/>
          <w:sz w:val="16"/>
          <w:szCs w:val="16"/>
          <w:highlight w:val="none"/>
          <w:u w:val="none"/>
          <w:lang w:val="en-US" w:eastAsia="zh-CN" w:bidi="ar"/>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jc w:val="center"/>
        <w:widowControl/>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 xml:space="preserve">质疑函范本</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33"/>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3060065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321282"/>
                      </a:xfrm>
                      <a:prstGeom prst="rect">
                        <a:avLst/>
                      </a:prstGeom>
                      <a:noFill/>
                      <a:ln>
                        <a:noFill/>
                      </a:ln>
                    </wps:spPr>
                    <wps:txbx>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0.9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4187" w:hanging="360"/>
        <w:tabs>
          <w:tab w:val="left" w:pos="418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99">
    <w:name w:val="Heading 1"/>
    <w:basedOn w:val="798"/>
    <w:next w:val="798"/>
    <w:link w:val="1013"/>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link w:val="879"/>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80"/>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81"/>
    <w:uiPriority w:val="9"/>
    <w:unhideWhenUsed/>
    <w:qFormat/>
    <w:pPr>
      <w:keepLines/>
      <w:keepNext/>
      <w:spacing w:before="320" w:after="200"/>
      <w:outlineLvl w:val="3"/>
    </w:pPr>
    <w:rPr>
      <w:rFonts w:ascii="Arial" w:hAnsi="Arial" w:eastAsia="Arial" w:cs="Arial"/>
      <w:b/>
      <w:bCs/>
      <w:szCs w:val="26"/>
    </w:rPr>
  </w:style>
  <w:style w:type="paragraph" w:styleId="803">
    <w:name w:val="Heading 5"/>
    <w:basedOn w:val="798"/>
    <w:next w:val="798"/>
    <w:link w:val="882"/>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83"/>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85"/>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86"/>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next w:val="798"/>
    <w:link w:val="1162"/>
    <w:uiPriority w:val="0"/>
    <w:unhideWhenUsed/>
    <w:qFormat/>
    <w:pPr>
      <w:ind w:firstLine="420"/>
      <w:jc w:val="left"/>
    </w:pPr>
    <w:rPr>
      <w:sz w:val="24"/>
    </w:rPr>
  </w:style>
  <w:style w:type="paragraph" w:styleId="811">
    <w:name w:val="toc 7"/>
    <w:basedOn w:val="798"/>
    <w:next w:val="798"/>
    <w:uiPriority w:val="39"/>
    <w:unhideWhenUsed/>
    <w:qFormat/>
    <w:pPr>
      <w:ind w:left="1701"/>
      <w:spacing w:after="57"/>
    </w:p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Document Map"/>
    <w:basedOn w:val="798"/>
    <w:uiPriority w:val="0"/>
    <w:unhideWhenUsed/>
    <w:qFormat/>
    <w:pPr>
      <w:shd w:val="clear" w:color="auto" w:fill="000080"/>
    </w:pPr>
    <w:rPr>
      <w:rFonts w:eastAsia="宋体"/>
      <w:sz w:val="21"/>
      <w:szCs w:val="24"/>
    </w:rPr>
  </w:style>
  <w:style w:type="paragraph" w:styleId="814">
    <w:name w:val="Body Text"/>
    <w:basedOn w:val="798"/>
    <w:next w:val="815"/>
    <w:uiPriority w:val="0"/>
    <w:qFormat/>
    <w:rPr>
      <w:rFonts w:ascii="楷体_GB2312" w:hAnsi="Arial"/>
      <w:sz w:val="28"/>
    </w:rPr>
  </w:style>
  <w:style w:type="paragraph" w:styleId="815">
    <w:name w:val="Title"/>
    <w:basedOn w:val="798"/>
    <w:next w:val="798"/>
    <w:link w:val="887"/>
    <w:uiPriority w:val="10"/>
    <w:qFormat/>
    <w:pPr>
      <w:contextualSpacing/>
      <w:spacing w:before="300" w:after="200"/>
    </w:pPr>
    <w:rPr>
      <w:sz w:val="48"/>
      <w:szCs w:val="48"/>
    </w:rPr>
  </w:style>
  <w:style w:type="paragraph" w:styleId="816">
    <w:name w:val="Body Text Indent"/>
    <w:basedOn w:val="798"/>
    <w:next w:val="817"/>
    <w:uiPriority w:val="0"/>
    <w:qFormat/>
    <w:pPr>
      <w:ind w:firstLine="645"/>
    </w:pPr>
    <w:rPr>
      <w:rFonts w:ascii="楷体_GB2312" w:hAnsiTheme="minorHAnsi" w:cstheme="minorBidi"/>
      <w:sz w:val="32"/>
      <w:szCs w:val="22"/>
    </w:rPr>
  </w:style>
  <w:style w:type="paragraph" w:styleId="817">
    <w:name w:val="envelope return"/>
    <w:basedOn w:val="798"/>
    <w:uiPriority w:val="99"/>
    <w:unhideWhenUsed/>
    <w:qFormat/>
    <w:rPr>
      <w:rFonts w:ascii="Arial" w:hAnsi="Arial"/>
    </w:rPr>
  </w:style>
  <w:style w:type="paragraph" w:styleId="818">
    <w:name w:val="toc 5"/>
    <w:basedOn w:val="798"/>
    <w:next w:val="798"/>
    <w:uiPriority w:val="39"/>
    <w:unhideWhenUsed/>
    <w:qFormat/>
    <w:pPr>
      <w:ind w:left="1134"/>
      <w:spacing w:after="57"/>
    </w:pPr>
  </w:style>
  <w:style w:type="paragraph" w:styleId="819">
    <w:name w:val="toc 3"/>
    <w:basedOn w:val="798"/>
    <w:next w:val="798"/>
    <w:uiPriority w:val="39"/>
    <w:unhideWhenUsed/>
    <w:qFormat/>
    <w:pPr>
      <w:ind w:left="567"/>
      <w:spacing w:after="57"/>
    </w:pPr>
  </w:style>
  <w:style w:type="paragraph" w:styleId="820">
    <w:name w:val="Plain Text"/>
    <w:basedOn w:val="798"/>
    <w:link w:val="1156"/>
    <w:uiPriority w:val="0"/>
    <w:unhideWhenUsed/>
    <w:qFormat/>
    <w:rPr>
      <w:rFonts w:ascii="宋体" w:hAnsi="Courier New"/>
    </w:rPr>
  </w:style>
  <w:style w:type="paragraph" w:styleId="821">
    <w:name w:val="toc 8"/>
    <w:basedOn w:val="798"/>
    <w:next w:val="798"/>
    <w:uiPriority w:val="39"/>
    <w:unhideWhenUsed/>
    <w:qFormat/>
    <w:pPr>
      <w:ind w:left="1984"/>
      <w:spacing w:after="57"/>
    </w:pPr>
  </w:style>
  <w:style w:type="paragraph" w:styleId="822">
    <w:name w:val="endnote text"/>
    <w:basedOn w:val="798"/>
    <w:link w:val="1003"/>
    <w:uiPriority w:val="99"/>
    <w:semiHidden/>
    <w:unhideWhenUsed/>
    <w:qFormat/>
    <w:rPr>
      <w:sz w:val="20"/>
    </w:rPr>
  </w:style>
  <w:style w:type="paragraph" w:styleId="823">
    <w:name w:val="Footer"/>
    <w:basedOn w:val="798"/>
    <w:link w:val="895"/>
    <w:uiPriority w:val="99"/>
    <w:unhideWhenUsed/>
    <w:qFormat/>
    <w:pPr>
      <w:tabs>
        <w:tab w:val="center" w:pos="7143" w:leader="none"/>
        <w:tab w:val="right" w:pos="14287" w:leader="none"/>
      </w:tabs>
    </w:pPr>
  </w:style>
  <w:style w:type="paragraph" w:styleId="824">
    <w:name w:val="Header"/>
    <w:basedOn w:val="798"/>
    <w:link w:val="893"/>
    <w:uiPriority w:val="99"/>
    <w:unhideWhenUsed/>
    <w:qFormat/>
    <w:pPr>
      <w:tabs>
        <w:tab w:val="center" w:pos="7143" w:leader="none"/>
        <w:tab w:val="right" w:pos="14287" w:leader="none"/>
      </w:tabs>
    </w:pPr>
  </w:style>
  <w:style w:type="paragraph" w:styleId="825">
    <w:name w:val="toc 1"/>
    <w:basedOn w:val="798"/>
    <w:next w:val="798"/>
    <w:uiPriority w:val="39"/>
    <w:unhideWhenUsed/>
    <w:qFormat/>
    <w:pPr>
      <w:spacing w:after="57"/>
    </w:pPr>
  </w:style>
  <w:style w:type="paragraph" w:styleId="826">
    <w:name w:val="toc 4"/>
    <w:basedOn w:val="798"/>
    <w:next w:val="798"/>
    <w:uiPriority w:val="39"/>
    <w:unhideWhenUsed/>
    <w:qFormat/>
    <w:pPr>
      <w:ind w:left="850"/>
      <w:spacing w:after="57"/>
    </w:pPr>
  </w:style>
  <w:style w:type="paragraph" w:styleId="827">
    <w:name w:val="Subtitle"/>
    <w:basedOn w:val="798"/>
    <w:next w:val="798"/>
    <w:link w:val="888"/>
    <w:uiPriority w:val="11"/>
    <w:qFormat/>
    <w:pPr>
      <w:spacing w:before="200" w:after="200"/>
    </w:pPr>
    <w:rPr>
      <w:sz w:val="24"/>
      <w:szCs w:val="24"/>
    </w:rPr>
  </w:style>
  <w:style w:type="paragraph" w:styleId="828">
    <w:name w:val="footnote text"/>
    <w:basedOn w:val="798"/>
    <w:link w:val="1002"/>
    <w:uiPriority w:val="99"/>
    <w:semiHidden/>
    <w:unhideWhenUsed/>
    <w:qFormat/>
    <w:pPr>
      <w:spacing w:after="40"/>
    </w:pPr>
    <w:rPr>
      <w:sz w:val="18"/>
    </w:rPr>
  </w:style>
  <w:style w:type="paragraph" w:styleId="829">
    <w:name w:val="toc 6"/>
    <w:basedOn w:val="798"/>
    <w:next w:val="798"/>
    <w:uiPriority w:val="39"/>
    <w:unhideWhenUsed/>
    <w:qFormat/>
    <w:pPr>
      <w:ind w:left="1417"/>
      <w:spacing w:after="57"/>
    </w:pPr>
  </w:style>
  <w:style w:type="paragraph" w:styleId="830">
    <w:name w:val="table of figures"/>
    <w:basedOn w:val="798"/>
    <w:next w:val="798"/>
    <w:uiPriority w:val="99"/>
    <w:unhideWhenUsed/>
    <w:qFormat/>
  </w:style>
  <w:style w:type="paragraph" w:styleId="831">
    <w:name w:val="toc 2"/>
    <w:basedOn w:val="798"/>
    <w:next w:val="798"/>
    <w:uiPriority w:val="39"/>
    <w:unhideWhenUsed/>
    <w:qFormat/>
    <w:pPr>
      <w:ind w:left="283"/>
      <w:spacing w:after="57"/>
    </w:pPr>
  </w:style>
  <w:style w:type="paragraph" w:styleId="832">
    <w:name w:val="toc 9"/>
    <w:basedOn w:val="798"/>
    <w:next w:val="798"/>
    <w:uiPriority w:val="39"/>
    <w:unhideWhenUsed/>
    <w:qFormat/>
    <w:pPr>
      <w:ind w:left="2268"/>
      <w:spacing w:after="57"/>
    </w:pPr>
  </w:style>
  <w:style w:type="paragraph" w:styleId="833">
    <w:name w:val="Normal (Web)"/>
    <w:basedOn w:val="798"/>
    <w:uiPriority w:val="99"/>
    <w:semiHidden/>
    <w:unhideWhenUsed/>
    <w:qFormat/>
    <w:pPr>
      <w:jc w:val="left"/>
      <w:spacing w:beforeAutospacing="1" w:afterAutospacing="1"/>
    </w:pPr>
    <w:rPr>
      <w:sz w:val="24"/>
    </w:rPr>
  </w:style>
  <w:style w:type="paragraph" w:styleId="834">
    <w:name w:val="Body Text First Indent 2"/>
    <w:basedOn w:val="816"/>
    <w:next w:val="798"/>
    <w:uiPriority w:val="99"/>
    <w:unhideWhenUsed/>
    <w:qFormat/>
    <w:pPr>
      <w:ind w:firstLine="200"/>
    </w:p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table" w:styleId="83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8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8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8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80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80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80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标题1"/>
    <w:uiPriority w:val="39"/>
    <w:unhideWhenUsed/>
    <w:qFormat/>
    <w:rPr>
      <w:rFonts w:ascii="Times New Roman" w:hAnsi="Times New Roman" w:eastAsia="宋体" w:cs="Times New Roman"/>
      <w:lang w:val="en-US" w:eastAsia="zh-CN" w:bidi="ar-SA"/>
    </w:rPr>
  </w:style>
  <w:style w:type="paragraph" w:styleId="859" w:customStyle="1">
    <w:name w:val="TOC 标题112"/>
    <w:uiPriority w:val="39"/>
    <w:unhideWhenUsed/>
    <w:qFormat/>
    <w:rPr>
      <w:rFonts w:ascii="Times New Roman" w:hAnsi="Times New Roman" w:eastAsia="宋体" w:cs="Times New Roman"/>
      <w:lang w:val="en-US" w:eastAsia="zh-CN" w:bidi="ar-SA"/>
    </w:rPr>
  </w:style>
  <w:style w:type="paragraph" w:styleId="860">
    <w:name w:val="List Paragraph"/>
    <w:basedOn w:val="798"/>
    <w:uiPriority w:val="0"/>
    <w:qFormat/>
    <w:pPr>
      <w:ind w:firstLine="420"/>
    </w:pPr>
    <w:rPr>
      <w:rFonts w:ascii="Calibri" w:hAnsi="Calibri" w:eastAsia="宋体"/>
      <w:sz w:val="21"/>
      <w:szCs w:val="22"/>
    </w:rPr>
  </w:style>
  <w:style w:type="character" w:styleId="861" w:customStyle="1">
    <w:name w:val="Heading 2 Char"/>
    <w:basedOn w:val="808"/>
    <w:uiPriority w:val="9"/>
    <w:qFormat/>
    <w:rPr>
      <w:rFonts w:ascii="Arial" w:hAnsi="Arial" w:eastAsia="Arial" w:cs="Arial"/>
      <w:sz w:val="34"/>
    </w:rPr>
  </w:style>
  <w:style w:type="character" w:styleId="862" w:customStyle="1">
    <w:name w:val="Heading 3 Char"/>
    <w:basedOn w:val="808"/>
    <w:uiPriority w:val="9"/>
    <w:qFormat/>
    <w:rPr>
      <w:rFonts w:ascii="Arial" w:hAnsi="Arial" w:eastAsia="Arial" w:cs="Arial"/>
      <w:sz w:val="30"/>
      <w:szCs w:val="30"/>
    </w:rPr>
  </w:style>
  <w:style w:type="character" w:styleId="863" w:customStyle="1">
    <w:name w:val="Heading 4 Char"/>
    <w:basedOn w:val="808"/>
    <w:uiPriority w:val="9"/>
    <w:qFormat/>
    <w:rPr>
      <w:rFonts w:ascii="Arial" w:hAnsi="Arial" w:eastAsia="Arial" w:cs="Arial"/>
      <w:b/>
      <w:bCs/>
      <w:sz w:val="26"/>
      <w:szCs w:val="26"/>
    </w:rPr>
  </w:style>
  <w:style w:type="character" w:styleId="864" w:customStyle="1">
    <w:name w:val="Heading 5 Char"/>
    <w:basedOn w:val="808"/>
    <w:uiPriority w:val="9"/>
    <w:qFormat/>
    <w:rPr>
      <w:rFonts w:ascii="Arial" w:hAnsi="Arial" w:eastAsia="Arial" w:cs="Arial"/>
      <w:b/>
      <w:bCs/>
      <w:sz w:val="24"/>
      <w:szCs w:val="24"/>
    </w:rPr>
  </w:style>
  <w:style w:type="character" w:styleId="865" w:customStyle="1">
    <w:name w:val="Heading 6 Char"/>
    <w:basedOn w:val="808"/>
    <w:uiPriority w:val="9"/>
    <w:qFormat/>
    <w:rPr>
      <w:rFonts w:ascii="Arial" w:hAnsi="Arial" w:eastAsia="Arial" w:cs="Arial"/>
      <w:b/>
      <w:bCs/>
      <w:sz w:val="22"/>
      <w:szCs w:val="22"/>
    </w:rPr>
  </w:style>
  <w:style w:type="character" w:styleId="866" w:customStyle="1">
    <w:name w:val="Heading 7 Char"/>
    <w:basedOn w:val="808"/>
    <w:uiPriority w:val="9"/>
    <w:qFormat/>
    <w:rPr>
      <w:rFonts w:ascii="Arial" w:hAnsi="Arial" w:eastAsia="Arial" w:cs="Arial"/>
      <w:b/>
      <w:bCs/>
      <w:i/>
      <w:iCs/>
      <w:sz w:val="22"/>
      <w:szCs w:val="22"/>
    </w:rPr>
  </w:style>
  <w:style w:type="character" w:styleId="867" w:customStyle="1">
    <w:name w:val="Heading 8 Char"/>
    <w:basedOn w:val="808"/>
    <w:uiPriority w:val="9"/>
    <w:qFormat/>
    <w:rPr>
      <w:rFonts w:ascii="Arial" w:hAnsi="Arial" w:eastAsia="Arial" w:cs="Arial"/>
      <w:i/>
      <w:iCs/>
      <w:sz w:val="22"/>
      <w:szCs w:val="22"/>
    </w:rPr>
  </w:style>
  <w:style w:type="character" w:styleId="868" w:customStyle="1">
    <w:name w:val="Heading 9 Char"/>
    <w:basedOn w:val="808"/>
    <w:uiPriority w:val="9"/>
    <w:qFormat/>
    <w:rPr>
      <w:rFonts w:ascii="Arial" w:hAnsi="Arial" w:eastAsia="Arial" w:cs="Arial"/>
      <w:i/>
      <w:iCs/>
      <w:sz w:val="21"/>
      <w:szCs w:val="21"/>
    </w:rPr>
  </w:style>
  <w:style w:type="character" w:styleId="869" w:customStyle="1">
    <w:name w:val="Title Char"/>
    <w:basedOn w:val="808"/>
    <w:uiPriority w:val="10"/>
    <w:qFormat/>
    <w:rPr>
      <w:sz w:val="48"/>
      <w:szCs w:val="48"/>
    </w:rPr>
  </w:style>
  <w:style w:type="character" w:styleId="870" w:customStyle="1">
    <w:name w:val="Subtitle Char"/>
    <w:basedOn w:val="808"/>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Header Char"/>
    <w:basedOn w:val="808"/>
    <w:uiPriority w:val="99"/>
    <w:qFormat/>
  </w:style>
  <w:style w:type="character" w:styleId="874" w:customStyle="1">
    <w:name w:val="Caption Char"/>
    <w:uiPriority w:val="99"/>
    <w:qFormat/>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标题111"/>
    <w:uiPriority w:val="39"/>
    <w:unhideWhenUsed/>
    <w:qFormat/>
    <w:rPr>
      <w:rFonts w:ascii="Calibri" w:hAnsi="Calibri" w:eastAsia="宋体" w:cs="Calibri"/>
      <w:lang w:val="en-US" w:eastAsia="zh-CN" w:bidi="ar-SA"/>
    </w:rPr>
  </w:style>
  <w:style w:type="character" w:styleId="878" w:customStyle="1">
    <w:name w:val="Heading 1 Char"/>
    <w:uiPriority w:val="9"/>
    <w:qFormat/>
    <w:rPr>
      <w:rFonts w:ascii="Arial" w:hAnsi="Arial" w:eastAsia="Arial" w:cs="Arial"/>
      <w:sz w:val="40"/>
      <w:szCs w:val="40"/>
    </w:rPr>
  </w:style>
  <w:style w:type="character" w:styleId="879" w:customStyle="1">
    <w:name w:val="标题 2 字符"/>
    <w:link w:val="800"/>
    <w:uiPriority w:val="9"/>
    <w:qFormat/>
    <w:rPr>
      <w:rFonts w:ascii="Arial" w:hAnsi="Arial" w:eastAsia="Arial" w:cs="Arial"/>
      <w:sz w:val="34"/>
    </w:rPr>
  </w:style>
  <w:style w:type="character" w:styleId="880" w:customStyle="1">
    <w:name w:val="标题 3 字符"/>
    <w:link w:val="801"/>
    <w:uiPriority w:val="9"/>
    <w:qFormat/>
    <w:rPr>
      <w:rFonts w:ascii="Arial" w:hAnsi="Arial" w:eastAsia="Arial" w:cs="Arial"/>
      <w:sz w:val="30"/>
      <w:szCs w:val="30"/>
    </w:rPr>
  </w:style>
  <w:style w:type="character" w:styleId="881" w:customStyle="1">
    <w:name w:val="标题 4 字符"/>
    <w:link w:val="802"/>
    <w:uiPriority w:val="9"/>
    <w:qFormat/>
    <w:rPr>
      <w:rFonts w:ascii="Arial" w:hAnsi="Arial" w:eastAsia="Arial" w:cs="Arial"/>
      <w:b/>
      <w:bCs/>
      <w:sz w:val="26"/>
      <w:szCs w:val="26"/>
    </w:rPr>
  </w:style>
  <w:style w:type="character" w:styleId="882" w:customStyle="1">
    <w:name w:val="标题 5 字符"/>
    <w:link w:val="803"/>
    <w:uiPriority w:val="9"/>
    <w:qFormat/>
    <w:rPr>
      <w:rFonts w:ascii="Arial" w:hAnsi="Arial" w:eastAsia="Arial" w:cs="Arial"/>
      <w:b/>
      <w:bCs/>
      <w:sz w:val="24"/>
      <w:szCs w:val="24"/>
    </w:rPr>
  </w:style>
  <w:style w:type="character" w:styleId="883" w:customStyle="1">
    <w:name w:val="标题 6 字符"/>
    <w:link w:val="804"/>
    <w:uiPriority w:val="9"/>
    <w:qFormat/>
    <w:rPr>
      <w:rFonts w:ascii="Arial" w:hAnsi="Arial" w:eastAsia="Arial" w:cs="Arial"/>
      <w:b/>
      <w:bCs/>
      <w:sz w:val="22"/>
      <w:szCs w:val="22"/>
    </w:rPr>
  </w:style>
  <w:style w:type="character" w:styleId="884" w:customStyle="1">
    <w:name w:val="标题 7 字符"/>
    <w:link w:val="805"/>
    <w:uiPriority w:val="9"/>
    <w:qFormat/>
    <w:rPr>
      <w:rFonts w:ascii="Arial" w:hAnsi="Arial" w:eastAsia="Arial" w:cs="Arial"/>
      <w:b/>
      <w:bCs/>
      <w:i/>
      <w:iCs/>
      <w:sz w:val="22"/>
      <w:szCs w:val="22"/>
    </w:rPr>
  </w:style>
  <w:style w:type="character" w:styleId="885" w:customStyle="1">
    <w:name w:val="标题 8 字符"/>
    <w:link w:val="806"/>
    <w:uiPriority w:val="9"/>
    <w:qFormat/>
    <w:rPr>
      <w:rFonts w:ascii="Arial" w:hAnsi="Arial" w:eastAsia="Arial" w:cs="Arial"/>
      <w:i/>
      <w:iCs/>
      <w:sz w:val="22"/>
      <w:szCs w:val="22"/>
    </w:rPr>
  </w:style>
  <w:style w:type="character" w:styleId="886" w:customStyle="1">
    <w:name w:val="标题 9 字符"/>
    <w:link w:val="807"/>
    <w:uiPriority w:val="9"/>
    <w:qFormat/>
    <w:rPr>
      <w:rFonts w:ascii="Arial" w:hAnsi="Arial" w:eastAsia="Arial" w:cs="Arial"/>
      <w:i/>
      <w:iCs/>
      <w:sz w:val="21"/>
      <w:szCs w:val="21"/>
    </w:rPr>
  </w:style>
  <w:style w:type="character" w:styleId="887" w:customStyle="1">
    <w:name w:val="标题 字符"/>
    <w:link w:val="815"/>
    <w:uiPriority w:val="10"/>
    <w:qFormat/>
    <w:rPr>
      <w:sz w:val="48"/>
      <w:szCs w:val="48"/>
    </w:rPr>
  </w:style>
  <w:style w:type="character" w:styleId="888" w:customStyle="1">
    <w:name w:val="副标题 字符"/>
    <w:link w:val="827"/>
    <w:uiPriority w:val="11"/>
    <w:qFormat/>
    <w:rPr>
      <w:sz w:val="24"/>
      <w:szCs w:val="24"/>
    </w:rPr>
  </w:style>
  <w:style w:type="paragraph" w:styleId="889">
    <w:name w:val="Quote"/>
    <w:basedOn w:val="798"/>
    <w:next w:val="798"/>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798"/>
    <w:next w:val="798"/>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页眉 字符"/>
    <w:link w:val="824"/>
    <w:uiPriority w:val="99"/>
    <w:qFormat/>
  </w:style>
  <w:style w:type="character" w:styleId="894" w:customStyle="1">
    <w:name w:val="Footer Char"/>
    <w:uiPriority w:val="99"/>
    <w:qFormat/>
  </w:style>
  <w:style w:type="character" w:styleId="895" w:customStyle="1">
    <w:name w:val="页脚 字符"/>
    <w:link w:val="823"/>
    <w:uiPriority w:val="99"/>
    <w:qFormat/>
  </w:style>
  <w:style w:type="table" w:styleId="8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28"/>
    <w:uiPriority w:val="99"/>
    <w:qFormat/>
    <w:rPr>
      <w:sz w:val="18"/>
    </w:rPr>
  </w:style>
  <w:style w:type="character" w:styleId="1003" w:customStyle="1">
    <w:name w:val="尾注文本 字符"/>
    <w:link w:val="822"/>
    <w:uiPriority w:val="99"/>
    <w:qFormat/>
    <w:rPr>
      <w:sz w:val="20"/>
    </w:rPr>
  </w:style>
  <w:style w:type="paragraph" w:styleId="1004" w:customStyle="1">
    <w:name w:val="TOC 标题11"/>
    <w:uiPriority w:val="39"/>
    <w:unhideWhenUsed/>
    <w:qFormat/>
    <w:rPr>
      <w:rFonts w:ascii="Times New Roman" w:hAnsi="Times New Roman" w:eastAsia="宋体" w:cs="Times New Roman"/>
      <w:lang w:val="en-US" w:eastAsia="zh-CN" w:bidi="ar-SA"/>
    </w:rPr>
  </w:style>
  <w:style w:type="paragraph" w:styleId="1005" w:customStyle="1">
    <w:name w:val="标题 11"/>
    <w:basedOn w:val="798"/>
    <w:next w:val="798"/>
    <w:uiPriority w:val="0"/>
    <w:qFormat/>
    <w:pPr>
      <w:keepLines/>
      <w:keepNext/>
      <w:spacing w:before="340" w:after="330" w:line="578" w:lineRule="auto"/>
      <w:outlineLvl w:val="0"/>
    </w:pPr>
    <w:rPr>
      <w:b/>
      <w:sz w:val="44"/>
    </w:rPr>
  </w:style>
  <w:style w:type="paragraph" w:styleId="1006" w:customStyle="1">
    <w:name w:val="标题 21"/>
    <w:basedOn w:val="798"/>
    <w:next w:val="798"/>
    <w:link w:val="1014"/>
    <w:uiPriority w:val="0"/>
    <w:qFormat/>
    <w:pPr>
      <w:keepLines/>
      <w:keepNext/>
      <w:spacing w:before="260" w:after="260" w:line="416" w:lineRule="auto"/>
      <w:outlineLvl w:val="1"/>
    </w:pPr>
    <w:rPr>
      <w:rFonts w:ascii="Cambria" w:hAnsi="Cambria" w:eastAsia="宋体"/>
      <w:b/>
      <w:bCs/>
      <w:sz w:val="32"/>
      <w:szCs w:val="32"/>
    </w:rPr>
  </w:style>
  <w:style w:type="paragraph" w:styleId="1007" w:customStyle="1">
    <w:name w:val="标题 31"/>
    <w:basedOn w:val="798"/>
    <w:next w:val="798"/>
    <w:link w:val="1015"/>
    <w:uiPriority w:val="0"/>
    <w:qFormat/>
    <w:pPr>
      <w:keepLines/>
      <w:keepNext/>
      <w:spacing w:before="260" w:after="260" w:line="416" w:lineRule="auto"/>
      <w:outlineLvl w:val="2"/>
    </w:pPr>
    <w:rPr>
      <w:b/>
      <w:bCs/>
      <w:sz w:val="32"/>
      <w:szCs w:val="32"/>
    </w:rPr>
  </w:style>
  <w:style w:type="paragraph" w:styleId="1008" w:customStyle="1">
    <w:name w:val="标题 41"/>
    <w:basedOn w:val="798"/>
    <w:next w:val="798"/>
    <w:link w:val="1016"/>
    <w:uiPriority w:val="0"/>
    <w:qFormat/>
    <w:pPr>
      <w:keepLines/>
      <w:keepNext/>
      <w:spacing w:before="280" w:after="290" w:line="376" w:lineRule="auto"/>
      <w:outlineLvl w:val="3"/>
    </w:pPr>
    <w:rPr>
      <w:rFonts w:ascii="Cambria" w:hAnsi="Cambria" w:eastAsia="宋体"/>
      <w:b/>
      <w:bCs/>
      <w:sz w:val="28"/>
      <w:szCs w:val="28"/>
    </w:rPr>
  </w:style>
  <w:style w:type="paragraph" w:styleId="1009" w:customStyle="1">
    <w:name w:val="标题 51"/>
    <w:basedOn w:val="798"/>
    <w:next w:val="798"/>
    <w:link w:val="1017"/>
    <w:uiPriority w:val="0"/>
    <w:qFormat/>
    <w:pPr>
      <w:jc w:val="center"/>
      <w:keepLines/>
      <w:keepNext/>
      <w:outlineLvl w:val="4"/>
    </w:pPr>
    <w:rPr>
      <w:rFonts w:eastAsia="宋体"/>
      <w:b/>
      <w:bCs/>
      <w:sz w:val="28"/>
      <w:szCs w:val="28"/>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paragraph" w:styleId="1012" w:customStyle="1">
    <w:name w:val="DAS正文"/>
    <w:basedOn w:val="798"/>
    <w:uiPriority w:val="0"/>
    <w:qFormat/>
    <w:pPr>
      <w:ind w:right="181" w:firstLine="480"/>
      <w:spacing w:line="360" w:lineRule="auto"/>
    </w:pPr>
    <w:rPr>
      <w:rFonts w:ascii="Verdana" w:hAnsi="Verdana"/>
      <w:sz w:val="24"/>
      <w:szCs w:val="24"/>
    </w:rPr>
  </w:style>
  <w:style w:type="character" w:styleId="1013" w:customStyle="1">
    <w:name w:val="标题 1 字符"/>
    <w:basedOn w:val="808"/>
    <w:link w:val="799"/>
    <w:uiPriority w:val="0"/>
    <w:qFormat/>
    <w:rPr>
      <w:rFonts w:eastAsia="楷体_GB2312"/>
      <w:b/>
      <w:sz w:val="44"/>
    </w:rPr>
  </w:style>
  <w:style w:type="character" w:styleId="1014" w:customStyle="1">
    <w:name w:val="标题 2 Char"/>
    <w:link w:val="1006"/>
    <w:uiPriority w:val="0"/>
    <w:qFormat/>
    <w:rPr>
      <w:rFonts w:ascii="Cambria" w:hAnsi="Cambria" w:eastAsia="宋体" w:cs="Times New Roman"/>
      <w:b/>
      <w:bCs/>
      <w:sz w:val="32"/>
      <w:szCs w:val="32"/>
    </w:rPr>
  </w:style>
  <w:style w:type="character" w:styleId="1015" w:customStyle="1">
    <w:name w:val="标题 3 Char"/>
    <w:link w:val="1007"/>
    <w:uiPriority w:val="0"/>
    <w:qFormat/>
    <w:rPr>
      <w:rFonts w:eastAsia="楷体_GB2312"/>
      <w:b/>
      <w:bCs/>
      <w:sz w:val="32"/>
      <w:szCs w:val="32"/>
    </w:rPr>
  </w:style>
  <w:style w:type="character" w:styleId="1016" w:customStyle="1">
    <w:name w:val="标题 4 Char"/>
    <w:link w:val="1008"/>
    <w:uiPriority w:val="0"/>
    <w:qFormat/>
    <w:rPr>
      <w:rFonts w:ascii="Cambria" w:hAnsi="Cambria" w:eastAsia="宋体" w:cs="Times New Roman"/>
      <w:b/>
      <w:bCs/>
      <w:sz w:val="28"/>
      <w:szCs w:val="28"/>
    </w:rPr>
  </w:style>
  <w:style w:type="character" w:styleId="1017" w:customStyle="1">
    <w:name w:val="标题 5 Char"/>
    <w:link w:val="1009"/>
    <w:uiPriority w:val="0"/>
    <w:qFormat/>
    <w:rPr>
      <w:b/>
      <w:bCs/>
      <w:sz w:val="28"/>
      <w:szCs w:val="28"/>
    </w:rPr>
  </w:style>
  <w:style w:type="paragraph" w:styleId="1018" w:customStyle="1">
    <w:name w:val="正文缩进1"/>
    <w:basedOn w:val="798"/>
    <w:link w:val="1019"/>
    <w:uiPriority w:val="0"/>
    <w:unhideWhenUsed/>
    <w:qFormat/>
    <w:pPr>
      <w:ind w:firstLine="420"/>
      <w:jc w:val="left"/>
    </w:pPr>
    <w:rPr>
      <w:sz w:val="24"/>
    </w:rPr>
  </w:style>
  <w:style w:type="character" w:styleId="1019" w:customStyle="1">
    <w:name w:val="正文缩进 Char"/>
    <w:link w:val="1018"/>
    <w:uiPriority w:val="0"/>
    <w:qFormat/>
    <w:rPr>
      <w:rFonts w:eastAsia="楷体_GB2312"/>
      <w:sz w:val="24"/>
    </w:rPr>
  </w:style>
  <w:style w:type="paragraph" w:styleId="1020" w:customStyle="1">
    <w:name w:val="文档结构图1"/>
    <w:basedOn w:val="798"/>
    <w:link w:val="1021"/>
    <w:uiPriority w:val="0"/>
    <w:unhideWhenUsed/>
    <w:qFormat/>
    <w:pPr>
      <w:shd w:val="clear" w:color="auto" w:fill="000080"/>
    </w:pPr>
    <w:rPr>
      <w:rFonts w:eastAsia="宋体"/>
      <w:sz w:val="21"/>
      <w:szCs w:val="24"/>
    </w:rPr>
  </w:style>
  <w:style w:type="character" w:styleId="1021" w:customStyle="1">
    <w:name w:val="文档结构图 Char"/>
    <w:link w:val="1020"/>
    <w:uiPriority w:val="0"/>
    <w:qFormat/>
    <w:rPr>
      <w:sz w:val="21"/>
      <w:szCs w:val="24"/>
      <w:shd w:val="clear" w:color="auto" w:fill="000080"/>
    </w:rPr>
  </w:style>
  <w:style w:type="paragraph" w:styleId="1022" w:customStyle="1">
    <w:name w:val="批注文字1"/>
    <w:basedOn w:val="798"/>
    <w:link w:val="1023"/>
    <w:uiPriority w:val="0"/>
    <w:qFormat/>
    <w:pPr>
      <w:jc w:val="left"/>
    </w:pPr>
  </w:style>
  <w:style w:type="character" w:styleId="1023" w:customStyle="1">
    <w:name w:val="批注文字 Char"/>
    <w:link w:val="1022"/>
    <w:uiPriority w:val="0"/>
    <w:qFormat/>
    <w:rPr>
      <w:rFonts w:eastAsia="楷体_GB2312"/>
      <w:sz w:val="26"/>
    </w:rPr>
  </w:style>
  <w:style w:type="paragraph" w:styleId="1024" w:customStyle="1">
    <w:name w:val="正文文本 31"/>
    <w:basedOn w:val="798"/>
    <w:link w:val="1025"/>
    <w:uiPriority w:val="0"/>
    <w:unhideWhenUsed/>
    <w:qFormat/>
    <w:pPr>
      <w:jc w:val="center"/>
    </w:pPr>
    <w:rPr>
      <w:rFonts w:ascii="宋体" w:hAnsi="宋体"/>
    </w:rPr>
  </w:style>
  <w:style w:type="character" w:styleId="1025" w:customStyle="1">
    <w:name w:val="正文文本 3 Char"/>
    <w:link w:val="1024"/>
    <w:uiPriority w:val="0"/>
    <w:qFormat/>
    <w:rPr>
      <w:rFonts w:ascii="宋体" w:hAnsi="宋体" w:eastAsia="楷体_GB2312"/>
      <w:sz w:val="26"/>
    </w:rPr>
  </w:style>
  <w:style w:type="paragraph" w:styleId="1026" w:customStyle="1">
    <w:name w:val="正文文本1"/>
    <w:basedOn w:val="798"/>
    <w:link w:val="1027"/>
    <w:uiPriority w:val="0"/>
    <w:unhideWhenUsed/>
    <w:qFormat/>
    <w:rPr>
      <w:rFonts w:ascii="楷体_GB2312"/>
      <w:b/>
      <w:bCs/>
      <w:sz w:val="28"/>
    </w:rPr>
  </w:style>
  <w:style w:type="character" w:styleId="1027" w:customStyle="1">
    <w:name w:val="正文文本 Char1"/>
    <w:link w:val="1026"/>
    <w:uiPriority w:val="0"/>
    <w:qFormat/>
    <w:rPr>
      <w:rFonts w:ascii="楷体_GB2312" w:eastAsia="楷体_GB2312"/>
      <w:b/>
      <w:bCs/>
      <w:sz w:val="28"/>
    </w:rPr>
  </w:style>
  <w:style w:type="paragraph" w:styleId="1028" w:customStyle="1">
    <w:name w:val="正文文本缩进1"/>
    <w:basedOn w:val="798"/>
    <w:next w:val="1029"/>
    <w:link w:val="1031"/>
    <w:uiPriority w:val="0"/>
    <w:unhideWhenUsed/>
    <w:qFormat/>
    <w:pPr>
      <w:ind w:firstLine="570"/>
    </w:pPr>
    <w:rPr>
      <w:rFonts w:ascii="宋体" w:eastAsia="宋体"/>
      <w:sz w:val="28"/>
    </w:rPr>
  </w:style>
  <w:style w:type="paragraph" w:styleId="1029" w:customStyle="1">
    <w:name w:val="寄信人地址1"/>
    <w:basedOn w:val="798"/>
    <w:uiPriority w:val="99"/>
    <w:unhideWhenUsed/>
    <w:qFormat/>
    <w:rPr>
      <w:rFonts w:ascii="Arial" w:hAnsi="Arial"/>
    </w:rPr>
  </w:style>
  <w:style w:type="paragraph" w:styleId="1030"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31" w:customStyle="1">
    <w:name w:val="正文文本缩进 Char"/>
    <w:link w:val="1028"/>
    <w:uiPriority w:val="0"/>
    <w:qFormat/>
    <w:rPr>
      <w:rFonts w:ascii="宋体"/>
      <w:sz w:val="28"/>
    </w:rPr>
  </w:style>
  <w:style w:type="paragraph" w:styleId="1032" w:customStyle="1">
    <w:name w:val="目录 31"/>
    <w:basedOn w:val="798"/>
    <w:next w:val="798"/>
    <w:uiPriority w:val="0"/>
    <w:qFormat/>
    <w:pPr>
      <w:ind w:left="359"/>
      <w:tabs>
        <w:tab w:val="right" w:pos="8302" w:leader="dot"/>
      </w:tabs>
    </w:pPr>
    <w:rPr>
      <w:rFonts w:eastAsia="宋体"/>
      <w:sz w:val="21"/>
      <w:szCs w:val="24"/>
    </w:rPr>
  </w:style>
  <w:style w:type="paragraph" w:styleId="1033" w:customStyle="1">
    <w:name w:val="纯文本1111"/>
    <w:basedOn w:val="798"/>
    <w:next w:val="1018"/>
    <w:link w:val="1034"/>
    <w:uiPriority w:val="0"/>
    <w:unhideWhenUsed/>
    <w:qFormat/>
    <w:rPr>
      <w:rFonts w:ascii="宋体" w:hAnsi="Courier New"/>
    </w:rPr>
  </w:style>
  <w:style w:type="character" w:styleId="1034" w:customStyle="1">
    <w:name w:val="纯文本 Char"/>
    <w:link w:val="1033"/>
    <w:uiPriority w:val="0"/>
    <w:qFormat/>
    <w:rPr>
      <w:rFonts w:ascii="宋体" w:hAnsi="Courier New" w:eastAsia="楷体_GB2312"/>
      <w:sz w:val="26"/>
    </w:rPr>
  </w:style>
  <w:style w:type="paragraph" w:styleId="1035" w:customStyle="1">
    <w:name w:val="日期1"/>
    <w:basedOn w:val="798"/>
    <w:next w:val="798"/>
    <w:link w:val="1036"/>
    <w:uiPriority w:val="0"/>
    <w:unhideWhenUsed/>
    <w:qFormat/>
    <w:rPr>
      <w:rFonts w:ascii="宋体" w:hAnsi="宋体"/>
      <w:sz w:val="24"/>
    </w:rPr>
  </w:style>
  <w:style w:type="character" w:styleId="1036" w:customStyle="1">
    <w:name w:val="日期 Char"/>
    <w:link w:val="1035"/>
    <w:uiPriority w:val="0"/>
    <w:qFormat/>
    <w:rPr>
      <w:rFonts w:ascii="宋体" w:hAnsi="宋体" w:eastAsia="楷体_GB2312"/>
      <w:sz w:val="24"/>
    </w:rPr>
  </w:style>
  <w:style w:type="paragraph" w:styleId="1037" w:customStyle="1">
    <w:name w:val="正文文本缩进 21"/>
    <w:basedOn w:val="798"/>
    <w:link w:val="1038"/>
    <w:uiPriority w:val="0"/>
    <w:unhideWhenUsed/>
    <w:qFormat/>
    <w:pPr>
      <w:ind w:left="420"/>
      <w:spacing w:after="120" w:line="480" w:lineRule="auto"/>
    </w:pPr>
  </w:style>
  <w:style w:type="character" w:styleId="1038" w:customStyle="1">
    <w:name w:val="正文文本缩进 2 Char"/>
    <w:link w:val="1037"/>
    <w:uiPriority w:val="0"/>
    <w:qFormat/>
    <w:rPr>
      <w:rFonts w:eastAsia="楷体_GB2312"/>
      <w:sz w:val="26"/>
    </w:rPr>
  </w:style>
  <w:style w:type="paragraph" w:styleId="1039" w:customStyle="1">
    <w:name w:val="尾注文本1"/>
    <w:basedOn w:val="798"/>
    <w:link w:val="1040"/>
    <w:uiPriority w:val="0"/>
    <w:unhideWhenUsed/>
    <w:qFormat/>
    <w:pPr>
      <w:jc w:val="left"/>
    </w:pPr>
    <w:rPr>
      <w:rFonts w:ascii="宋体" w:hAnsi="宋体" w:eastAsia="宋体"/>
      <w:sz w:val="21"/>
      <w:szCs w:val="24"/>
    </w:rPr>
  </w:style>
  <w:style w:type="character" w:styleId="1040" w:customStyle="1">
    <w:name w:val="尾注文本 Char"/>
    <w:link w:val="1039"/>
    <w:uiPriority w:val="0"/>
    <w:qFormat/>
    <w:rPr>
      <w:rFonts w:ascii="宋体" w:hAnsi="宋体"/>
      <w:sz w:val="21"/>
      <w:szCs w:val="24"/>
    </w:rPr>
  </w:style>
  <w:style w:type="paragraph" w:styleId="1041" w:customStyle="1">
    <w:name w:val="批注框文本1"/>
    <w:basedOn w:val="798"/>
    <w:link w:val="1042"/>
    <w:uiPriority w:val="0"/>
    <w:qFormat/>
    <w:rPr>
      <w:sz w:val="18"/>
      <w:szCs w:val="18"/>
    </w:rPr>
  </w:style>
  <w:style w:type="character" w:styleId="1042" w:customStyle="1">
    <w:name w:val="批注框文本 Char"/>
    <w:link w:val="1041"/>
    <w:uiPriority w:val="0"/>
    <w:qFormat/>
    <w:rPr>
      <w:rFonts w:eastAsia="楷体_GB2312"/>
      <w:sz w:val="18"/>
      <w:szCs w:val="18"/>
    </w:rPr>
  </w:style>
  <w:style w:type="paragraph" w:styleId="1043" w:customStyle="1">
    <w:name w:val="页脚1"/>
    <w:basedOn w:val="798"/>
    <w:link w:val="1044"/>
    <w:uiPriority w:val="0"/>
    <w:unhideWhenUsed/>
    <w:qFormat/>
    <w:pPr>
      <w:jc w:val="left"/>
      <w:tabs>
        <w:tab w:val="center" w:pos="4153" w:leader="none"/>
        <w:tab w:val="right" w:pos="8306" w:leader="none"/>
      </w:tabs>
    </w:pPr>
    <w:rPr>
      <w:sz w:val="18"/>
    </w:rPr>
  </w:style>
  <w:style w:type="character" w:styleId="1044" w:customStyle="1">
    <w:name w:val="页脚 Char"/>
    <w:link w:val="1043"/>
    <w:uiPriority w:val="0"/>
    <w:qFormat/>
    <w:rPr>
      <w:rFonts w:eastAsia="楷体_GB2312"/>
      <w:sz w:val="18"/>
    </w:rPr>
  </w:style>
  <w:style w:type="paragraph" w:styleId="1045" w:customStyle="1">
    <w:name w:val="页眉1"/>
    <w:basedOn w:val="798"/>
    <w:link w:val="1046"/>
    <w:uiPriority w:val="0"/>
    <w:unhideWhenUsed/>
    <w:qFormat/>
    <w:pPr>
      <w:jc w:val="center"/>
      <w:tabs>
        <w:tab w:val="center" w:pos="4153" w:leader="none"/>
        <w:tab w:val="right" w:pos="8306" w:leader="none"/>
      </w:tabs>
      <w:pBdr>
        <w:bottom w:val="single" w:color="000000" w:sz="6" w:space="1"/>
      </w:pBdr>
    </w:pPr>
    <w:rPr>
      <w:sz w:val="18"/>
    </w:rPr>
  </w:style>
  <w:style w:type="character" w:styleId="1046" w:customStyle="1">
    <w:name w:val="页眉 Char"/>
    <w:link w:val="1045"/>
    <w:uiPriority w:val="0"/>
    <w:qFormat/>
    <w:rPr>
      <w:rFonts w:eastAsia="楷体_GB2312"/>
      <w:sz w:val="18"/>
    </w:rPr>
  </w:style>
  <w:style w:type="paragraph" w:styleId="1047" w:customStyle="1">
    <w:name w:val="目录 11"/>
    <w:basedOn w:val="798"/>
    <w:next w:val="798"/>
    <w:uiPriority w:val="0"/>
    <w:unhideWhenUsed/>
    <w:qFormat/>
    <w:pPr>
      <w:jc w:val="left"/>
    </w:pPr>
    <w:rPr>
      <w:sz w:val="24"/>
    </w:rPr>
  </w:style>
  <w:style w:type="paragraph" w:styleId="1048" w:customStyle="1">
    <w:name w:val="副标题1"/>
    <w:basedOn w:val="798"/>
    <w:link w:val="1049"/>
    <w:uiPriority w:val="0"/>
    <w:qFormat/>
    <w:pPr>
      <w:jc w:val="center"/>
      <w:spacing w:before="240" w:after="60" w:line="312" w:lineRule="auto"/>
      <w:outlineLvl w:val="1"/>
    </w:pPr>
    <w:rPr>
      <w:rFonts w:ascii="Arial" w:hAnsi="Arial" w:eastAsia="宋体"/>
      <w:b/>
      <w:bCs/>
      <w:sz w:val="32"/>
      <w:szCs w:val="32"/>
    </w:rPr>
  </w:style>
  <w:style w:type="character" w:styleId="1049" w:customStyle="1">
    <w:name w:val="副标题 Char"/>
    <w:link w:val="1048"/>
    <w:uiPriority w:val="0"/>
    <w:qFormat/>
    <w:rPr>
      <w:rFonts w:ascii="Arial" w:hAnsi="Arial" w:cs="Arial"/>
      <w:b/>
      <w:bCs/>
      <w:sz w:val="32"/>
      <w:szCs w:val="32"/>
    </w:rPr>
  </w:style>
  <w:style w:type="paragraph" w:styleId="1050" w:customStyle="1">
    <w:name w:val="目录 21"/>
    <w:basedOn w:val="798"/>
    <w:next w:val="798"/>
    <w:uiPriority w:val="0"/>
    <w:unhideWhenUsed/>
    <w:qFormat/>
    <w:pPr>
      <w:ind w:left="420"/>
    </w:pPr>
  </w:style>
  <w:style w:type="paragraph" w:styleId="1051" w:customStyle="1">
    <w:name w:val="目录 91"/>
    <w:basedOn w:val="798"/>
    <w:next w:val="798"/>
    <w:uiPriority w:val="0"/>
    <w:semiHidden/>
    <w:qFormat/>
    <w:pPr>
      <w:ind w:left="3360"/>
    </w:pPr>
  </w:style>
  <w:style w:type="paragraph" w:styleId="1052" w:customStyle="1">
    <w:name w:val="普通(网站)1"/>
    <w:basedOn w:val="798"/>
    <w:uiPriority w:val="0"/>
    <w:unhideWhenUsed/>
    <w:qFormat/>
    <w:pPr>
      <w:jc w:val="left"/>
      <w:spacing w:before="100" w:beforeAutospacing="1" w:after="100" w:afterAutospacing="1"/>
      <w:widowControl/>
    </w:pPr>
    <w:rPr>
      <w:rFonts w:ascii="宋体" w:hAnsi="宋体" w:cs="宋体"/>
      <w:sz w:val="24"/>
    </w:rPr>
  </w:style>
  <w:style w:type="paragraph" w:styleId="1053" w:customStyle="1">
    <w:name w:val="索引 11"/>
    <w:basedOn w:val="798"/>
    <w:next w:val="798"/>
    <w:uiPriority w:val="0"/>
    <w:unhideWhenUsed/>
    <w:qFormat/>
    <w:pPr>
      <w:jc w:val="center"/>
      <w:spacing w:line="220" w:lineRule="exact"/>
    </w:pPr>
    <w:rPr>
      <w:rFonts w:ascii="仿宋_GB2312" w:eastAsia="仿宋_GB2312"/>
      <w:szCs w:val="21"/>
    </w:rPr>
  </w:style>
  <w:style w:type="paragraph" w:styleId="1054" w:customStyle="1">
    <w:name w:val="标题1"/>
    <w:basedOn w:val="798"/>
    <w:link w:val="1055"/>
    <w:uiPriority w:val="10"/>
    <w:qFormat/>
    <w:pPr>
      <w:jc w:val="center"/>
      <w:spacing w:before="240" w:after="60"/>
      <w:outlineLvl w:val="0"/>
    </w:pPr>
    <w:rPr>
      <w:rFonts w:ascii="Arial" w:hAnsi="Arial" w:eastAsia="宋体"/>
      <w:b/>
      <w:bCs/>
      <w:sz w:val="32"/>
      <w:szCs w:val="32"/>
    </w:rPr>
  </w:style>
  <w:style w:type="character" w:styleId="1055" w:customStyle="1">
    <w:name w:val="标题 Char"/>
    <w:link w:val="1054"/>
    <w:uiPriority w:val="10"/>
    <w:qFormat/>
    <w:rPr>
      <w:rFonts w:ascii="Arial" w:hAnsi="Arial"/>
      <w:b/>
      <w:bCs/>
      <w:sz w:val="32"/>
      <w:szCs w:val="32"/>
    </w:rPr>
  </w:style>
  <w:style w:type="paragraph" w:styleId="1056" w:customStyle="1">
    <w:name w:val="批注主题1"/>
    <w:basedOn w:val="1022"/>
    <w:next w:val="1022"/>
    <w:link w:val="1057"/>
    <w:uiPriority w:val="99"/>
    <w:qFormat/>
    <w:rPr>
      <w:b/>
      <w:bCs/>
    </w:rPr>
  </w:style>
  <w:style w:type="character" w:styleId="1057" w:customStyle="1">
    <w:name w:val="批注主题 Char"/>
    <w:link w:val="1056"/>
    <w:uiPriority w:val="99"/>
    <w:qFormat/>
    <w:rPr>
      <w:b/>
      <w:bCs/>
    </w:rPr>
  </w:style>
  <w:style w:type="paragraph" w:styleId="1058" w:customStyle="1">
    <w:name w:val="正文首行缩进1"/>
    <w:basedOn w:val="1026"/>
    <w:link w:val="1059"/>
    <w:uiPriority w:val="0"/>
    <w:unhideWhenUsed/>
    <w:qFormat/>
    <w:pPr>
      <w:ind w:firstLine="420"/>
      <w:spacing w:after="120"/>
    </w:pPr>
    <w:rPr>
      <w:rFonts w:ascii="Times New Roman" w:eastAsia="宋体"/>
      <w:b w:val="0"/>
      <w:bCs w:val="0"/>
      <w:sz w:val="21"/>
      <w:szCs w:val="24"/>
    </w:rPr>
  </w:style>
  <w:style w:type="character" w:styleId="1059" w:customStyle="1">
    <w:name w:val="正文首行缩进 Char"/>
    <w:link w:val="1058"/>
    <w:uiPriority w:val="0"/>
    <w:qFormat/>
  </w:style>
  <w:style w:type="character" w:styleId="1060" w:customStyle="1">
    <w:name w:val="正文文本 Char"/>
    <w:uiPriority w:val="0"/>
    <w:qFormat/>
    <w:rPr>
      <w:sz w:val="21"/>
      <w:szCs w:val="24"/>
    </w:rPr>
  </w:style>
  <w:style w:type="paragraph" w:styleId="1061" w:customStyle="1">
    <w:name w:val="正文首行缩进 21"/>
    <w:basedOn w:val="1028"/>
    <w:uiPriority w:val="99"/>
    <w:unhideWhenUsed/>
    <w:qFormat/>
    <w:pPr>
      <w:ind w:firstLine="420"/>
    </w:pPr>
  </w:style>
  <w:style w:type="table" w:styleId="1062" w:customStyle="1">
    <w:name w:val="网格型1"/>
    <w:basedOn w:val="1011"/>
    <w:uiPriority w:val="0"/>
    <w:unhideWhenUsed/>
    <w:qFormat/>
    <w:pPr>
      <w:jc w:val="both"/>
      <w:widowControl w:val="off"/>
    </w:pPr>
    <w:tblPr/>
  </w:style>
  <w:style w:type="character" w:styleId="1063" w:customStyle="1">
    <w:name w:val="要点1"/>
    <w:uiPriority w:val="0"/>
    <w:qFormat/>
    <w:rPr>
      <w:b/>
      <w:bCs/>
    </w:rPr>
  </w:style>
  <w:style w:type="character" w:styleId="1064" w:customStyle="1">
    <w:name w:val="页码1"/>
    <w:uiPriority w:val="0"/>
    <w:unhideWhenUsed/>
    <w:qFormat/>
  </w:style>
  <w:style w:type="character" w:styleId="1065" w:customStyle="1">
    <w:name w:val="访问过的超链接1"/>
    <w:uiPriority w:val="0"/>
    <w:qFormat/>
    <w:rPr>
      <w:rFonts w:ascii="微软雅黑" w:hAnsi="微软雅黑" w:eastAsia="微软雅黑" w:cs="微软雅黑"/>
      <w:color w:val="3d3d3d"/>
      <w:u w:val="none"/>
    </w:rPr>
  </w:style>
  <w:style w:type="character" w:styleId="1066" w:customStyle="1">
    <w:name w:val="超链接1"/>
    <w:uiPriority w:val="99"/>
    <w:unhideWhenUsed/>
    <w:qFormat/>
    <w:rPr>
      <w:rFonts w:hint="eastAsia" w:ascii="微软雅黑" w:hAnsi="微软雅黑" w:eastAsia="微软雅黑" w:cs="微软雅黑"/>
      <w:color w:val="3d3d3d"/>
      <w:u w:val="none"/>
    </w:rPr>
  </w:style>
  <w:style w:type="character" w:styleId="1067" w:customStyle="1">
    <w:name w:val="批注引用1"/>
    <w:uiPriority w:val="0"/>
    <w:qFormat/>
    <w:rPr>
      <w:sz w:val="21"/>
      <w:szCs w:val="21"/>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z-窗体底端 Char"/>
    <w:link w:val="1070"/>
    <w:uiPriority w:val="0"/>
    <w:qFormat/>
    <w:rPr>
      <w:rFonts w:ascii="Arial" w:hAnsi="Arial" w:cs="Arial"/>
      <w:vanish/>
      <w:sz w:val="16"/>
      <w:szCs w:val="16"/>
    </w:rPr>
  </w:style>
  <w:style w:type="paragraph" w:styleId="1070" w:customStyle="1">
    <w:name w:val="z-窗体底端1"/>
    <w:basedOn w:val="798"/>
    <w:next w:val="798"/>
    <w:link w:val="1069"/>
    <w:uiPriority w:val="0"/>
    <w:unhideWhenUsed/>
    <w:qFormat/>
    <w:pPr>
      <w:jc w:val="center"/>
      <w:pBdr>
        <w:top w:val="single" w:color="000000" w:sz="6" w:space="1"/>
      </w:pBdr>
    </w:pPr>
    <w:rPr>
      <w:rFonts w:ascii="Arial" w:hAnsi="Arial" w:eastAsia="宋体" w:cs="Arial"/>
      <w:vanish/>
      <w:sz w:val="16"/>
      <w:szCs w:val="16"/>
    </w:rPr>
  </w:style>
  <w:style w:type="character" w:styleId="1071" w:customStyle="1">
    <w:name w:val="Char Char Char"/>
    <w:uiPriority w:val="0"/>
    <w:qFormat/>
    <w:rPr>
      <w:rFonts w:hint="eastAsia" w:ascii="黑体" w:hAnsi="黑体" w:eastAsia="黑体"/>
      <w:bCs/>
      <w:sz w:val="28"/>
      <w:szCs w:val="32"/>
      <w:lang w:val="en-US" w:eastAsia="zh-CN" w:bidi="ar-SA"/>
    </w:rPr>
  </w:style>
  <w:style w:type="character" w:styleId="1072" w:customStyle="1">
    <w:name w:val="尾注文本 Char1"/>
    <w:uiPriority w:val="99"/>
    <w:semiHidden/>
    <w:qFormat/>
    <w:rPr>
      <w:rFonts w:eastAsia="楷体_GB2312"/>
      <w:sz w:val="26"/>
    </w:rPr>
  </w:style>
  <w:style w:type="character" w:styleId="1073" w:customStyle="1">
    <w:name w:val="font01"/>
    <w:uiPriority w:val="0"/>
    <w:qFormat/>
    <w:rPr>
      <w:rFonts w:ascii="Calibri" w:hAnsi="Calibri" w:cs="Calibri"/>
      <w:color w:val="000000"/>
      <w:sz w:val="20"/>
      <w:szCs w:val="20"/>
      <w:u w:val="none"/>
    </w:rPr>
  </w:style>
  <w:style w:type="character" w:styleId="1074" w:customStyle="1">
    <w:name w:val="纯文本 Char Char"/>
    <w:uiPriority w:val="0"/>
    <w:qFormat/>
    <w:rPr>
      <w:rFonts w:ascii="宋体" w:hAnsi="Courier New" w:eastAsia="宋体" w:cs="Courier New"/>
      <w:sz w:val="21"/>
      <w:szCs w:val="21"/>
      <w:lang w:val="en-US" w:eastAsia="zh-CN" w:bidi="ar-SA"/>
    </w:rPr>
  </w:style>
  <w:style w:type="character" w:styleId="1075" w:customStyle="1">
    <w:name w:val="Plain Text Char Char"/>
    <w:link w:val="1076"/>
    <w:uiPriority w:val="0"/>
    <w:qFormat/>
    <w:rPr>
      <w:rFonts w:ascii="宋体" w:hAnsi="Courier New" w:eastAsia="楷体_GB2312"/>
      <w:sz w:val="26"/>
      <w:lang w:val="en-US" w:eastAsia="zh-CN" w:bidi="ar-SA"/>
    </w:rPr>
  </w:style>
  <w:style w:type="paragraph" w:styleId="1076" w:customStyle="1">
    <w:name w:val="纯文本1"/>
    <w:basedOn w:val="798"/>
    <w:link w:val="1075"/>
    <w:uiPriority w:val="0"/>
    <w:qFormat/>
    <w:rPr>
      <w:rFonts w:ascii="宋体" w:hAnsi="Courier New"/>
    </w:rPr>
  </w:style>
  <w:style w:type="character" w:styleId="1077" w:customStyle="1">
    <w:name w:val="样式 粉红"/>
    <w:uiPriority w:val="0"/>
    <w:qFormat/>
    <w:rPr>
      <w:color w:val="000000"/>
      <w:u w:val="none"/>
    </w:rPr>
  </w:style>
  <w:style w:type="character" w:styleId="1078" w:customStyle="1">
    <w:name w:val="Char Char5"/>
    <w:uiPriority w:val="0"/>
    <w:qFormat/>
    <w:rPr>
      <w:rFonts w:hint="eastAsia" w:ascii="黑体" w:hAnsi="黑体" w:eastAsia="黑体"/>
      <w:b/>
      <w:bCs/>
      <w:sz w:val="72"/>
      <w:szCs w:val="44"/>
      <w:lang w:val="en-US" w:eastAsia="zh-CN" w:bidi="ar-SA"/>
    </w:rPr>
  </w:style>
  <w:style w:type="character" w:styleId="1079" w:customStyle="1">
    <w:name w:val="文档结构图 Char1"/>
    <w:uiPriority w:val="99"/>
    <w:semiHidden/>
    <w:qFormat/>
    <w:rPr>
      <w:rFonts w:ascii="宋体"/>
      <w:sz w:val="18"/>
      <w:szCs w:val="18"/>
    </w:rPr>
  </w:style>
  <w:style w:type="character" w:styleId="1080" w:customStyle="1">
    <w:name w:val="font112"/>
    <w:uiPriority w:val="0"/>
    <w:qFormat/>
    <w:rPr>
      <w:rFonts w:hint="eastAsia" w:ascii="宋体" w:hAnsi="宋体" w:eastAsia="宋体" w:cs="宋体"/>
      <w:color w:val="000000"/>
      <w:sz w:val="20"/>
      <w:szCs w:val="20"/>
      <w:u w:val="none"/>
    </w:rPr>
  </w:style>
  <w:style w:type="character" w:styleId="1081" w:customStyle="1">
    <w:name w:val="Char Char1"/>
    <w:uiPriority w:val="0"/>
    <w:qFormat/>
    <w:rPr>
      <w:rFonts w:ascii="Arial" w:hAnsi="Arial" w:eastAsia="黑体"/>
      <w:b/>
      <w:bCs/>
      <w:sz w:val="32"/>
      <w:szCs w:val="32"/>
      <w:lang w:val="en-US" w:eastAsia="zh-CN" w:bidi="ar-SA"/>
    </w:rPr>
  </w:style>
  <w:style w:type="character" w:styleId="1082" w:customStyle="1">
    <w:name w:val="z-窗体顶端 Char1"/>
    <w:link w:val="1083"/>
    <w:uiPriority w:val="0"/>
    <w:qFormat/>
    <w:rPr>
      <w:rFonts w:ascii="Arial" w:hAnsi="Arial" w:cs="Arial"/>
      <w:vanish/>
      <w:sz w:val="16"/>
      <w:szCs w:val="16"/>
    </w:rPr>
  </w:style>
  <w:style w:type="paragraph" w:styleId="1083" w:customStyle="1">
    <w:name w:val="z-窗体顶端1"/>
    <w:basedOn w:val="798"/>
    <w:next w:val="798"/>
    <w:link w:val="1082"/>
    <w:uiPriority w:val="0"/>
    <w:qFormat/>
    <w:pPr>
      <w:jc w:val="center"/>
      <w:pBdr>
        <w:bottom w:val="single" w:color="000000" w:sz="6" w:space="1"/>
      </w:pBdr>
    </w:pPr>
    <w:rPr>
      <w:rFonts w:ascii="Arial" w:hAnsi="Arial" w:eastAsia="宋体" w:cs="Arial"/>
      <w:vanish/>
      <w:sz w:val="16"/>
      <w:szCs w:val="16"/>
    </w:rPr>
  </w:style>
  <w:style w:type="character" w:styleId="1084" w:customStyle="1">
    <w:name w:val="grame"/>
    <w:uiPriority w:val="0"/>
    <w:qFormat/>
  </w:style>
  <w:style w:type="character" w:styleId="1085" w:customStyle="1">
    <w:name w:val="Heading #1|1_"/>
    <w:link w:val="1086"/>
    <w:uiPriority w:val="0"/>
    <w:qFormat/>
    <w:rPr>
      <w:rFonts w:ascii="宋体" w:hAnsi="宋体" w:eastAsia="宋体" w:cs="宋体"/>
      <w:color w:val="fc5c77"/>
      <w:sz w:val="138"/>
      <w:szCs w:val="138"/>
      <w:lang w:val="zh-TW" w:eastAsia="zh-TW" w:bidi="zh-TW"/>
    </w:rPr>
  </w:style>
  <w:style w:type="paragraph" w:styleId="1086" w:customStyle="1">
    <w:name w:val="Heading #1|1"/>
    <w:basedOn w:val="798"/>
    <w:link w:val="108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87" w:customStyle="1">
    <w:name w:val="font21"/>
    <w:uiPriority w:val="0"/>
    <w:qFormat/>
    <w:rPr>
      <w:rFonts w:hint="eastAsia" w:ascii="宋体" w:hAnsi="宋体" w:eastAsia="宋体" w:cs="宋体"/>
      <w:color w:val="000000"/>
      <w:sz w:val="20"/>
      <w:szCs w:val="20"/>
      <w:u w:val="none"/>
    </w:rPr>
  </w:style>
  <w:style w:type="character" w:styleId="1088" w:customStyle="1">
    <w:name w:val="z-窗体顶端 Char"/>
    <w:link w:val="1089"/>
    <w:uiPriority w:val="0"/>
    <w:qFormat/>
    <w:rPr>
      <w:rFonts w:ascii="Arial" w:hAnsi="Arial" w:cs="Arial"/>
      <w:vanish/>
      <w:sz w:val="16"/>
      <w:szCs w:val="16"/>
    </w:rPr>
  </w:style>
  <w:style w:type="paragraph" w:styleId="1089" w:customStyle="1">
    <w:name w:val="z-窗体顶端11"/>
    <w:basedOn w:val="798"/>
    <w:next w:val="798"/>
    <w:link w:val="1088"/>
    <w:uiPriority w:val="0"/>
    <w:unhideWhenUsed/>
    <w:qFormat/>
    <w:pPr>
      <w:jc w:val="center"/>
      <w:pBdr>
        <w:bottom w:val="single" w:color="000000" w:sz="6" w:space="1"/>
      </w:pBdr>
    </w:pPr>
    <w:rPr>
      <w:rFonts w:ascii="Arial" w:hAnsi="Arial" w:eastAsia="宋体" w:cs="Arial"/>
      <w:vanish/>
      <w:sz w:val="16"/>
      <w:szCs w:val="16"/>
    </w:rPr>
  </w:style>
  <w:style w:type="character" w:styleId="1090" w:customStyle="1">
    <w:name w:val="标题 Char1"/>
    <w:uiPriority w:val="10"/>
    <w:qFormat/>
    <w:rPr>
      <w:rFonts w:ascii="Cambria" w:hAnsi="Cambria" w:cs="Times New Roman"/>
      <w:b/>
      <w:bCs/>
      <w:sz w:val="32"/>
      <w:szCs w:val="32"/>
    </w:rPr>
  </w:style>
  <w:style w:type="character" w:styleId="1091" w:customStyle="1">
    <w:name w:val="Char Char3"/>
    <w:uiPriority w:val="0"/>
    <w:qFormat/>
    <w:rPr>
      <w:b/>
      <w:bCs/>
      <w:sz w:val="32"/>
      <w:szCs w:val="32"/>
    </w:rPr>
  </w:style>
  <w:style w:type="character" w:styleId="1092" w:customStyle="1">
    <w:name w:val="Blockquote Char Char"/>
    <w:link w:val="1093"/>
    <w:uiPriority w:val="0"/>
    <w:qFormat/>
    <w:rPr>
      <w:rFonts w:cs="宋体"/>
      <w:sz w:val="24"/>
      <w:szCs w:val="24"/>
    </w:rPr>
  </w:style>
  <w:style w:type="paragraph" w:styleId="1093" w:customStyle="1">
    <w:name w:val="Blockquote"/>
    <w:basedOn w:val="798"/>
    <w:link w:val="1092"/>
    <w:uiPriority w:val="0"/>
    <w:qFormat/>
    <w:pPr>
      <w:ind w:left="360" w:right="360"/>
      <w:jc w:val="left"/>
      <w:spacing w:before="100" w:after="100"/>
    </w:pPr>
    <w:rPr>
      <w:rFonts w:eastAsia="宋体" w:cs="宋体"/>
      <w:sz w:val="24"/>
      <w:szCs w:val="24"/>
    </w:rPr>
  </w:style>
  <w:style w:type="character" w:styleId="1094" w:customStyle="1">
    <w:name w:val="Char Char4"/>
    <w:uiPriority w:val="0"/>
    <w:qFormat/>
    <w:rPr>
      <w:rFonts w:ascii="Arial" w:hAnsi="Arial" w:eastAsia="黑体" w:cs="Arial"/>
      <w:bCs/>
      <w:sz w:val="24"/>
      <w:szCs w:val="28"/>
      <w:lang w:val="en-US" w:eastAsia="zh-CN" w:bidi="ar-SA"/>
    </w:rPr>
  </w:style>
  <w:style w:type="character" w:styleId="1095" w:customStyle="1">
    <w:name w:val="Other|1_"/>
    <w:link w:val="1096"/>
    <w:uiPriority w:val="0"/>
    <w:qFormat/>
    <w:rPr>
      <w:rFonts w:ascii="宋体" w:hAnsi="宋体" w:eastAsia="宋体" w:cs="宋体"/>
      <w:color w:val="4e4a50"/>
      <w:lang w:val="zh-TW" w:eastAsia="zh-TW" w:bidi="zh-TW"/>
    </w:rPr>
  </w:style>
  <w:style w:type="paragraph" w:styleId="1096" w:customStyle="1">
    <w:name w:val="Other|1"/>
    <w:basedOn w:val="798"/>
    <w:link w:val="1095"/>
    <w:uiPriority w:val="0"/>
    <w:qFormat/>
    <w:pPr>
      <w:jc w:val="center"/>
      <w:spacing w:line="308" w:lineRule="exact"/>
    </w:pPr>
    <w:rPr>
      <w:rFonts w:ascii="宋体" w:hAnsi="宋体" w:eastAsia="宋体" w:cs="宋体"/>
      <w:color w:val="4e4a50"/>
      <w:sz w:val="20"/>
      <w:lang w:val="zh-TW" w:eastAsia="zh-TW" w:bidi="zh-TW"/>
    </w:rPr>
  </w:style>
  <w:style w:type="character" w:styleId="1097" w:customStyle="1">
    <w:name w:val="z-窗体底端 Char2"/>
    <w:uiPriority w:val="99"/>
    <w:semiHidden/>
    <w:qFormat/>
    <w:rPr>
      <w:rFonts w:ascii="Arial" w:hAnsi="Arial" w:eastAsia="楷体_GB2312" w:cs="Arial"/>
      <w:vanish/>
      <w:sz w:val="16"/>
      <w:szCs w:val="16"/>
    </w:rPr>
  </w:style>
  <w:style w:type="character" w:styleId="1098" w:customStyle="1">
    <w:name w:val="font61"/>
    <w:uiPriority w:val="0"/>
    <w:qFormat/>
    <w:rPr>
      <w:rFonts w:ascii="Calibri" w:hAnsi="Calibri" w:cs="Calibri"/>
      <w:color w:val="000000"/>
      <w:sz w:val="20"/>
      <w:szCs w:val="20"/>
      <w:u w:val="none"/>
    </w:rPr>
  </w:style>
  <w:style w:type="character" w:styleId="1099" w:customStyle="1">
    <w:name w:val="Body text|3_"/>
    <w:link w:val="1100"/>
    <w:uiPriority w:val="0"/>
    <w:qFormat/>
    <w:rPr>
      <w:color w:val="5c575b"/>
      <w:sz w:val="26"/>
      <w:szCs w:val="26"/>
      <w:lang w:val="zh-TW" w:eastAsia="zh-TW" w:bidi="zh-TW"/>
    </w:rPr>
  </w:style>
  <w:style w:type="paragraph" w:styleId="1100" w:customStyle="1">
    <w:name w:val="Body text|3"/>
    <w:basedOn w:val="798"/>
    <w:link w:val="1099"/>
    <w:uiPriority w:val="0"/>
    <w:qFormat/>
    <w:pPr>
      <w:jc w:val="left"/>
    </w:pPr>
    <w:rPr>
      <w:rFonts w:eastAsia="宋体"/>
      <w:color w:val="5c575b"/>
      <w:szCs w:val="26"/>
      <w:lang w:val="zh-TW" w:eastAsia="zh-TW" w:bidi="zh-TW"/>
    </w:rPr>
  </w:style>
  <w:style w:type="character" w:styleId="1101" w:customStyle="1">
    <w:name w:val="Char Char2"/>
    <w:uiPriority w:val="0"/>
    <w:qFormat/>
    <w:rPr>
      <w:rFonts w:ascii="Arial" w:hAnsi="Arial" w:eastAsia="黑体" w:cs="Arial"/>
      <w:b/>
      <w:bCs/>
      <w:sz w:val="32"/>
      <w:szCs w:val="32"/>
      <w:lang w:val="en-US" w:eastAsia="zh-CN" w:bidi="ar-SA"/>
    </w:rPr>
  </w:style>
  <w:style w:type="character" w:styleId="1102" w:customStyle="1">
    <w:name w:val="z-窗体顶端 Char2"/>
    <w:uiPriority w:val="99"/>
    <w:semiHidden/>
    <w:qFormat/>
    <w:rPr>
      <w:rFonts w:ascii="Arial" w:hAnsi="Arial" w:eastAsia="楷体_GB2312" w:cs="Arial"/>
      <w:vanish/>
      <w:sz w:val="16"/>
      <w:szCs w:val="16"/>
    </w:rPr>
  </w:style>
  <w:style w:type="character" w:styleId="1103" w:customStyle="1">
    <w:name w:val="Header or footer|2_"/>
    <w:link w:val="1104"/>
    <w:uiPriority w:val="0"/>
    <w:qFormat/>
    <w:rPr>
      <w:lang w:val="zh-TW" w:eastAsia="zh-TW" w:bidi="zh-TW"/>
    </w:rPr>
  </w:style>
  <w:style w:type="paragraph" w:styleId="1104" w:customStyle="1">
    <w:name w:val="Header or footer|2"/>
    <w:basedOn w:val="798"/>
    <w:link w:val="1103"/>
    <w:uiPriority w:val="0"/>
    <w:qFormat/>
    <w:pPr>
      <w:jc w:val="left"/>
    </w:pPr>
    <w:rPr>
      <w:rFonts w:eastAsia="宋体"/>
      <w:sz w:val="20"/>
      <w:lang w:val="zh-TW" w:eastAsia="zh-TW" w:bidi="zh-TW"/>
    </w:rPr>
  </w:style>
  <w:style w:type="character" w:styleId="1105" w:customStyle="1">
    <w:name w:val="正文首行缩进 Char1"/>
    <w:uiPriority w:val="0"/>
    <w:qFormat/>
  </w:style>
  <w:style w:type="character" w:styleId="1106" w:customStyle="1">
    <w:name w:val="Body text|1_"/>
    <w:link w:val="1107"/>
    <w:uiPriority w:val="0"/>
    <w:qFormat/>
    <w:rPr>
      <w:rFonts w:ascii="宋体" w:hAnsi="宋体" w:eastAsia="宋体" w:cs="宋体"/>
      <w:color w:val="4e4a50"/>
      <w:sz w:val="26"/>
      <w:szCs w:val="26"/>
      <w:lang w:val="zh-TW" w:eastAsia="zh-TW" w:bidi="zh-TW"/>
    </w:rPr>
  </w:style>
  <w:style w:type="paragraph" w:styleId="1107" w:customStyle="1">
    <w:name w:val="Body text|1"/>
    <w:basedOn w:val="798"/>
    <w:link w:val="110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8" w:customStyle="1">
    <w:name w:val="Picture caption|1_"/>
    <w:link w:val="1109"/>
    <w:uiPriority w:val="0"/>
    <w:qFormat/>
    <w:rPr>
      <w:rFonts w:ascii="宋体" w:hAnsi="宋体" w:eastAsia="宋体" w:cs="宋体"/>
      <w:color w:val="4e4a50"/>
      <w:sz w:val="26"/>
      <w:szCs w:val="26"/>
      <w:lang w:val="zh-TW" w:eastAsia="zh-TW" w:bidi="zh-TW"/>
    </w:rPr>
  </w:style>
  <w:style w:type="paragraph" w:styleId="1109" w:customStyle="1">
    <w:name w:val="Picture caption|1"/>
    <w:basedOn w:val="798"/>
    <w:link w:val="1108"/>
    <w:uiPriority w:val="0"/>
    <w:qFormat/>
    <w:pPr>
      <w:jc w:val="left"/>
    </w:pPr>
    <w:rPr>
      <w:rFonts w:ascii="宋体" w:hAnsi="宋体" w:eastAsia="宋体" w:cs="宋体"/>
      <w:color w:val="4e4a50"/>
      <w:szCs w:val="26"/>
      <w:lang w:val="zh-TW" w:eastAsia="zh-TW" w:bidi="zh-TW"/>
    </w:rPr>
  </w:style>
  <w:style w:type="character" w:styleId="1110" w:customStyle="1">
    <w:name w:val="Char Char"/>
    <w:uiPriority w:val="0"/>
    <w:qFormat/>
    <w:rPr>
      <w:rFonts w:eastAsia="黑体"/>
      <w:bCs/>
      <w:sz w:val="28"/>
      <w:szCs w:val="32"/>
      <w:lang w:val="en-US" w:eastAsia="zh-CN" w:bidi="ar-SA"/>
    </w:rPr>
  </w:style>
  <w:style w:type="character" w:styleId="1111" w:customStyle="1">
    <w:name w:val="Heading #2|1_"/>
    <w:link w:val="1112"/>
    <w:uiPriority w:val="0"/>
    <w:qFormat/>
    <w:rPr>
      <w:rFonts w:ascii="宋体" w:hAnsi="宋体" w:eastAsia="宋体" w:cs="宋体"/>
      <w:color w:val="4e4a50"/>
      <w:sz w:val="40"/>
      <w:szCs w:val="40"/>
      <w:lang w:val="zh-TW" w:eastAsia="zh-TW" w:bidi="zh-TW"/>
    </w:rPr>
  </w:style>
  <w:style w:type="paragraph" w:styleId="1112" w:customStyle="1">
    <w:name w:val="Heading #2|1"/>
    <w:basedOn w:val="798"/>
    <w:link w:val="111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3" w:customStyle="1">
    <w:name w:val="font51"/>
    <w:uiPriority w:val="0"/>
    <w:qFormat/>
    <w:rPr>
      <w:rFonts w:hint="eastAsia" w:ascii="宋体" w:hAnsi="宋体" w:eastAsia="宋体" w:cs="宋体"/>
      <w:color w:val="000000"/>
      <w:sz w:val="20"/>
      <w:szCs w:val="20"/>
      <w:u w:val="none"/>
    </w:rPr>
  </w:style>
  <w:style w:type="character" w:styleId="1114" w:customStyle="1">
    <w:name w:val="z-窗体底端 Char1"/>
    <w:link w:val="1115"/>
    <w:uiPriority w:val="0"/>
    <w:qFormat/>
    <w:rPr>
      <w:rFonts w:ascii="Arial" w:hAnsi="Arial" w:cs="Arial"/>
      <w:vanish/>
      <w:sz w:val="16"/>
      <w:szCs w:val="16"/>
    </w:rPr>
  </w:style>
  <w:style w:type="paragraph" w:styleId="1115" w:customStyle="1">
    <w:name w:val="z-窗体底端2"/>
    <w:basedOn w:val="798"/>
    <w:next w:val="798"/>
    <w:link w:val="1114"/>
    <w:uiPriority w:val="0"/>
    <w:qFormat/>
    <w:pPr>
      <w:jc w:val="center"/>
      <w:pBdr>
        <w:top w:val="single" w:color="000000" w:sz="6" w:space="1"/>
      </w:pBdr>
    </w:pPr>
    <w:rPr>
      <w:rFonts w:ascii="Arial" w:hAnsi="Arial" w:eastAsia="宋体" w:cs="Arial"/>
      <w:vanish/>
      <w:sz w:val="16"/>
      <w:szCs w:val="16"/>
    </w:rPr>
  </w:style>
  <w:style w:type="paragraph" w:styleId="1116" w:customStyle="1">
    <w:name w:val="样式 标题 2 + Times New Roman 四号 非加粗 段前: 5 磅 段后: 0 磅 行距: 固定值 20..."/>
    <w:basedOn w:val="1006"/>
    <w:uiPriority w:val="0"/>
    <w:qFormat/>
    <w:pPr>
      <w:jc w:val="center"/>
      <w:spacing w:before="100" w:after="0" w:line="400" w:lineRule="exact"/>
    </w:pPr>
    <w:rPr>
      <w:rFonts w:ascii="Times New Roman" w:hAnsi="Times New Roman" w:cs="宋体"/>
      <w:b w:val="0"/>
      <w:bCs w:val="0"/>
      <w:sz w:val="28"/>
      <w:szCs w:val="20"/>
    </w:rPr>
  </w:style>
  <w:style w:type="paragraph" w:styleId="1117" w:customStyle="1">
    <w:name w:val="正文首行缩进两字符"/>
    <w:basedOn w:val="798"/>
    <w:uiPriority w:val="0"/>
    <w:qFormat/>
    <w:pPr>
      <w:ind w:firstLine="200"/>
      <w:spacing w:line="360" w:lineRule="auto"/>
    </w:pPr>
    <w:rPr>
      <w:rFonts w:eastAsia="宋体"/>
      <w:sz w:val="21"/>
      <w:szCs w:val="24"/>
    </w:rPr>
  </w:style>
  <w:style w:type="paragraph" w:styleId="1118" w:customStyle="1">
    <w:name w:val="red"/>
    <w:basedOn w:val="798"/>
    <w:uiPriority w:val="0"/>
    <w:qFormat/>
    <w:pPr>
      <w:jc w:val="left"/>
      <w:spacing w:before="100" w:beforeAutospacing="1" w:after="100" w:afterAutospacing="1"/>
      <w:widowControl/>
    </w:pPr>
    <w:rPr>
      <w:rFonts w:ascii="宋体" w:hAnsi="宋体" w:eastAsia="宋体" w:cs="宋体"/>
      <w:sz w:val="21"/>
      <w:szCs w:val="21"/>
    </w:rPr>
  </w:style>
  <w:style w:type="paragraph" w:styleId="1119" w:customStyle="1">
    <w:name w:val="z-窗体底端3"/>
    <w:basedOn w:val="798"/>
    <w:next w:val="798"/>
    <w:uiPriority w:val="0"/>
    <w:unhideWhenUsed/>
    <w:qFormat/>
    <w:pPr>
      <w:jc w:val="center"/>
      <w:pBdr>
        <w:top w:val="single" w:color="000000" w:sz="6" w:space="1"/>
      </w:pBdr>
    </w:pPr>
    <w:rPr>
      <w:rFonts w:ascii="Arial" w:hAnsi="Arial" w:eastAsia="宋体" w:cs="Arial"/>
      <w:vanish/>
      <w:sz w:val="16"/>
      <w:szCs w:val="16"/>
    </w:rPr>
  </w:style>
  <w:style w:type="paragraph" w:styleId="1120" w:customStyle="1">
    <w:name w:val="_Style 4"/>
    <w:basedOn w:val="798"/>
    <w:next w:val="798"/>
    <w:uiPriority w:val="0"/>
    <w:qFormat/>
    <w:pPr>
      <w:ind w:firstLine="420"/>
    </w:pPr>
    <w:rPr>
      <w:rFonts w:ascii="Calibri" w:hAnsi="Calibri" w:eastAsia="宋体"/>
      <w:sz w:val="21"/>
      <w:szCs w:val="22"/>
    </w:rPr>
  </w:style>
  <w:style w:type="paragraph" w:styleId="112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默认段落字体 Para Char Char Char Char Char Char Char"/>
    <w:basedOn w:val="798"/>
    <w:uiPriority w:val="0"/>
    <w:qFormat/>
    <w:rPr>
      <w:rFonts w:ascii="Tahoma" w:hAnsi="Tahoma" w:eastAsia="宋体"/>
      <w:sz w:val="24"/>
    </w:rPr>
  </w:style>
  <w:style w:type="paragraph" w:styleId="1124" w:customStyle="1">
    <w:name w:val="Char"/>
    <w:basedOn w:val="798"/>
    <w:uiPriority w:val="0"/>
    <w:qFormat/>
    <w:rPr>
      <w:rFonts w:ascii="Tahoma" w:hAnsi="Tahoma" w:eastAsia="宋体"/>
      <w:sz w:val="24"/>
    </w:rPr>
  </w:style>
  <w:style w:type="paragraph" w:styleId="1125" w:customStyle="1">
    <w:name w:val="样式1"/>
    <w:basedOn w:val="1008"/>
    <w:uiPriority w:val="0"/>
    <w:qFormat/>
    <w:pPr>
      <w:jc w:val="left"/>
      <w:spacing w:before="0" w:after="0" w:line="240" w:lineRule="auto"/>
    </w:pPr>
    <w:rPr>
      <w:rFonts w:ascii="黑体" w:hAnsi="宋体" w:eastAsia="黑体" w:cs="黑体"/>
      <w:b w:val="0"/>
      <w:color w:val="000000"/>
      <w:sz w:val="21"/>
    </w:rPr>
  </w:style>
  <w:style w:type="paragraph" w:styleId="1126" w:customStyle="1">
    <w:name w:val="修订1"/>
    <w:uiPriority w:val="99"/>
    <w:unhideWhenUsed/>
    <w:qFormat/>
    <w:rPr>
      <w:rFonts w:ascii="Times New Roman" w:hAnsi="Times New Roman" w:eastAsia="楷体_GB2312" w:cs="Times New Roman"/>
      <w:sz w:val="26"/>
      <w:lang w:val="en-US" w:eastAsia="zh-CN" w:bidi="ar-SA"/>
    </w:rPr>
  </w:style>
  <w:style w:type="paragraph" w:styleId="1127" w:customStyle="1">
    <w:name w:val="列出段落"/>
    <w:basedOn w:val="798"/>
    <w:uiPriority w:val="34"/>
    <w:qFormat/>
    <w:pPr>
      <w:ind w:firstLine="420"/>
    </w:pPr>
  </w:style>
  <w:style w:type="paragraph" w:styleId="1128" w:customStyle="1">
    <w:name w:val="样式 样式 宋体 + 首行缩进:  1 字符"/>
    <w:basedOn w:val="1129"/>
    <w:uiPriority w:val="0"/>
    <w:qFormat/>
    <w:pPr>
      <w:spacing w:line="240" w:lineRule="auto"/>
    </w:pPr>
  </w:style>
  <w:style w:type="paragraph" w:styleId="1129" w:customStyle="1">
    <w:name w:val="样式 宋体"/>
    <w:basedOn w:val="798"/>
    <w:uiPriority w:val="0"/>
    <w:qFormat/>
    <w:pPr>
      <w:ind w:firstLine="100"/>
      <w:spacing w:line="360" w:lineRule="auto"/>
    </w:pPr>
    <w:rPr>
      <w:rFonts w:ascii="宋体" w:hAnsi="宋体" w:eastAsia="宋体" w:cs="宋体"/>
      <w:sz w:val="21"/>
    </w:rPr>
  </w:style>
  <w:style w:type="paragraph" w:styleId="1130" w:customStyle="1">
    <w:name w:val="列出段落1"/>
    <w:basedOn w:val="798"/>
    <w:uiPriority w:val="0"/>
    <w:qFormat/>
    <w:pPr>
      <w:ind w:firstLine="420"/>
    </w:pPr>
    <w:rPr>
      <w:rFonts w:ascii="Calibri" w:hAnsi="Calibri" w:eastAsia="宋体"/>
      <w:sz w:val="21"/>
      <w:szCs w:val="22"/>
    </w:rPr>
  </w:style>
  <w:style w:type="paragraph" w:styleId="1131" w:customStyle="1">
    <w:name w:val="正文1"/>
    <w:basedOn w:val="798"/>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2" w:customStyle="1">
    <w:name w:val="正文 + 黑体"/>
    <w:basedOn w:val="798"/>
    <w:uiPriority w:val="0"/>
    <w:qFormat/>
    <w:pPr>
      <w:jc w:val="left"/>
    </w:pPr>
    <w:rPr>
      <w:rFonts w:ascii="黑体" w:hAnsi="宋体" w:eastAsia="黑体" w:cs="TimesNewRomanPSMT"/>
      <w:sz w:val="24"/>
      <w:szCs w:val="24"/>
    </w:rPr>
  </w:style>
  <w:style w:type="paragraph" w:styleId="1133" w:customStyle="1">
    <w:name w:val="1"/>
    <w:basedOn w:val="798"/>
    <w:uiPriority w:val="0"/>
    <w:qFormat/>
    <w:rPr>
      <w:rFonts w:eastAsia="宋体"/>
      <w:sz w:val="21"/>
      <w:szCs w:val="24"/>
    </w:rPr>
  </w:style>
  <w:style w:type="paragraph" w:styleId="1134" w:customStyle="1">
    <w:name w:val="[基本段落]"/>
    <w:basedOn w:val="798"/>
    <w:uiPriority w:val="99"/>
    <w:qFormat/>
    <w:pPr>
      <w:jc w:val="left"/>
      <w:spacing w:line="288" w:lineRule="auto"/>
    </w:pPr>
    <w:rPr>
      <w:rFonts w:ascii="Myriad Roman" w:hAnsi="Myriad Roman" w:cs="Myriad Roman"/>
      <w:color w:val="000000"/>
      <w:sz w:val="24"/>
    </w:rPr>
  </w:style>
  <w:style w:type="paragraph" w:styleId="1135" w:customStyle="1">
    <w:name w:val="纯文本4"/>
    <w:basedOn w:val="798"/>
    <w:uiPriority w:val="0"/>
    <w:qFormat/>
    <w:rPr>
      <w:rFonts w:ascii="宋体" w:hAnsi="Courier New" w:eastAsia="宋体"/>
      <w:sz w:val="28"/>
      <w:szCs w:val="24"/>
    </w:rPr>
  </w:style>
  <w:style w:type="paragraph" w:styleId="1136" w:customStyle="1">
    <w:name w:val="Address"/>
    <w:basedOn w:val="798"/>
    <w:uiPriority w:val="0"/>
    <w:qFormat/>
    <w:pPr>
      <w:jc w:val="left"/>
      <w:spacing w:line="249" w:lineRule="auto"/>
      <w:widowControl/>
    </w:pPr>
    <w:rPr>
      <w:rFonts w:ascii="Centaur" w:hAnsi="Centaur"/>
      <w:sz w:val="20"/>
      <w:lang w:eastAsia="en-US"/>
    </w:rPr>
  </w:style>
  <w:style w:type="paragraph" w:styleId="1137" w:customStyle="1">
    <w:name w:val="金安桥正文"/>
    <w:basedOn w:val="1028"/>
    <w:uiPriority w:val="0"/>
    <w:qFormat/>
    <w:pPr>
      <w:ind w:firstLine="200"/>
      <w:jc w:val="left"/>
      <w:spacing w:line="300" w:lineRule="auto"/>
    </w:pPr>
    <w:rPr>
      <w:rFonts w:ascii="Times New Roman"/>
      <w:sz w:val="24"/>
    </w:rPr>
  </w:style>
  <w:style w:type="paragraph" w:styleId="1138" w:customStyle="1">
    <w:name w:val="普通正文"/>
    <w:basedOn w:val="798"/>
    <w:uiPriority w:val="0"/>
    <w:qFormat/>
    <w:pPr>
      <w:ind w:firstLine="480"/>
      <w:jc w:val="left"/>
      <w:spacing w:before="120" w:after="120" w:line="360" w:lineRule="auto"/>
    </w:pPr>
    <w:rPr>
      <w:rFonts w:ascii="Arial" w:hAnsi="Arial"/>
      <w:sz w:val="24"/>
    </w:rPr>
  </w:style>
  <w:style w:type="paragraph" w:styleId="1139" w:customStyle="1">
    <w:name w:val="纯文本11"/>
    <w:basedOn w:val="798"/>
    <w:uiPriority w:val="99"/>
    <w:qFormat/>
    <w:rPr>
      <w:rFonts w:ascii="宋体" w:hAnsi="Courier New"/>
    </w:rPr>
  </w:style>
  <w:style w:type="paragraph" w:styleId="1140" w:customStyle="1">
    <w:name w:val="WPS Plain"/>
    <w:uiPriority w:val="0"/>
    <w:qFormat/>
    <w:rPr>
      <w:rFonts w:ascii="Times New Roman" w:hAnsi="Times New Roman" w:eastAsia="宋体" w:cs="Times New Roman"/>
      <w:lang w:val="en-US" w:eastAsia="zh-CN" w:bidi="ar-SA"/>
    </w:rPr>
  </w:style>
  <w:style w:type="paragraph" w:styleId="1141" w:customStyle="1">
    <w:name w:val="p0"/>
    <w:basedOn w:val="798"/>
    <w:uiPriority w:val="0"/>
    <w:qFormat/>
    <w:pPr>
      <w:widowControl/>
    </w:pPr>
    <w:rPr>
      <w:rFonts w:ascii="黑体" w:hAnsi="黑体"/>
      <w:szCs w:val="21"/>
    </w:rPr>
  </w:style>
  <w:style w:type="paragraph" w:styleId="1142" w:customStyle="1">
    <w:name w:val="首行缩进"/>
    <w:basedOn w:val="798"/>
    <w:uiPriority w:val="0"/>
    <w:qFormat/>
    <w:pPr>
      <w:ind w:firstLine="480"/>
      <w:spacing w:line="360" w:lineRule="auto"/>
    </w:pPr>
    <w:rPr>
      <w:rFonts w:hAnsi="宋体" w:eastAsia="宋体" w:cs="宋体"/>
      <w:sz w:val="24"/>
      <w:szCs w:val="24"/>
    </w:rPr>
  </w:style>
  <w:style w:type="paragraph" w:styleId="1143" w:customStyle="1">
    <w:name w:val="Char1"/>
    <w:basedOn w:val="798"/>
    <w:uiPriority w:val="0"/>
    <w:qFormat/>
    <w:pPr>
      <w:tabs>
        <w:tab w:val="left" w:pos="360" w:leader="none"/>
      </w:tabs>
    </w:pPr>
    <w:rPr>
      <w:rFonts w:eastAsia="宋体"/>
      <w:sz w:val="24"/>
      <w:szCs w:val="24"/>
    </w:rPr>
  </w:style>
  <w:style w:type="paragraph" w:styleId="1144" w:customStyle="1">
    <w:name w:val="z-窗体顶端2"/>
    <w:basedOn w:val="798"/>
    <w:next w:val="798"/>
    <w:uiPriority w:val="0"/>
    <w:unhideWhenUsed/>
    <w:qFormat/>
    <w:pPr>
      <w:jc w:val="center"/>
      <w:pBdr>
        <w:bottom w:val="single" w:color="000000" w:sz="6" w:space="1"/>
      </w:pBdr>
    </w:pPr>
    <w:rPr>
      <w:rFonts w:ascii="Arial" w:hAnsi="Arial" w:eastAsia="宋体" w:cs="Arial"/>
      <w:vanish/>
      <w:sz w:val="16"/>
      <w:szCs w:val="16"/>
    </w:rPr>
  </w:style>
  <w:style w:type="paragraph" w:styleId="1145" w:customStyle="1">
    <w:name w:val="样式 标题 3 + (中文) 黑体 小四 非加粗 段前: 7.8 磅 段后: 0 磅 行距: 固定值 20 磅"/>
    <w:basedOn w:val="1007"/>
    <w:next w:val="798"/>
    <w:uiPriority w:val="0"/>
    <w:qFormat/>
    <w:pPr>
      <w:spacing w:before="0" w:after="0" w:line="400" w:lineRule="exact"/>
    </w:pPr>
    <w:rPr>
      <w:rFonts w:eastAsia="宋体"/>
      <w:sz w:val="24"/>
      <w:szCs w:val="20"/>
    </w:rPr>
  </w:style>
  <w:style w:type="paragraph" w:styleId="1146"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4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48" w:customStyle="1">
    <w:name w:val="Char Char Char Char Char Char Char Char Char Char"/>
    <w:basedOn w:val="798"/>
    <w:uiPriority w:val="0"/>
    <w:qFormat/>
    <w:pPr>
      <w:ind w:hanging="425"/>
      <w:keepNext/>
      <w:spacing w:before="80" w:after="80"/>
      <w:widowControl/>
      <w:tabs>
        <w:tab w:val="left" w:pos="425" w:leader="none"/>
      </w:tabs>
    </w:pPr>
    <w:rPr>
      <w:rFonts w:eastAsia="宋体"/>
      <w:sz w:val="20"/>
    </w:rPr>
  </w:style>
  <w:style w:type="paragraph" w:styleId="1149" w:customStyle="1">
    <w:name w:val="Style1"/>
    <w:basedOn w:val="798"/>
    <w:uiPriority w:val="0"/>
    <w:qFormat/>
    <w:pPr>
      <w:spacing w:after="120"/>
      <w:widowControl/>
      <w:tabs>
        <w:tab w:val="left" w:pos="-720" w:leader="none"/>
      </w:tabs>
    </w:pPr>
    <w:rPr>
      <w:spacing w:val="-3"/>
      <w:sz w:val="24"/>
      <w:lang w:val="en-AU" w:eastAsia="en-US"/>
    </w:rPr>
  </w:style>
  <w:style w:type="paragraph" w:styleId="1150" w:customStyle="1">
    <w:name w:val="样式2"/>
    <w:basedOn w:val="798"/>
    <w:next w:val="1009"/>
    <w:uiPriority w:val="0"/>
    <w:qFormat/>
    <w:pPr>
      <w:jc w:val="center"/>
    </w:pPr>
    <w:rPr>
      <w:rFonts w:ascii="宋体" w:hAnsi="宋体" w:eastAsia="宋体" w:cs="Arial"/>
      <w:b/>
      <w:color w:val="000000"/>
      <w:sz w:val="21"/>
      <w:szCs w:val="21"/>
    </w:rPr>
  </w:style>
  <w:style w:type="paragraph" w:styleId="1151" w:customStyle="1">
    <w:name w:val="纯文本3"/>
    <w:basedOn w:val="798"/>
    <w:uiPriority w:val="0"/>
    <w:qFormat/>
    <w:rPr>
      <w:rFonts w:hint="eastAsia" w:ascii="宋体" w:hAnsi="Courier New"/>
      <w:sz w:val="28"/>
    </w:rPr>
  </w:style>
  <w:style w:type="paragraph" w:styleId="1152" w:customStyle="1">
    <w:name w:val="Table Paragraph"/>
    <w:basedOn w:val="798"/>
    <w:uiPriority w:val="1"/>
    <w:qFormat/>
  </w:style>
  <w:style w:type="table" w:styleId="1153" w:customStyle="1">
    <w:name w:val="Table Normal"/>
    <w:uiPriority w:val="0"/>
    <w:unhideWhenUsed/>
    <w:qFormat/>
    <w:tblPr>
      <w:tblCellMar>
        <w:left w:w="0" w:type="dxa"/>
        <w:top w:w="0" w:type="dxa"/>
        <w:right w:w="0" w:type="dxa"/>
        <w:bottom w:w="0" w:type="dxa"/>
      </w:tblCellMar>
    </w:tblPr>
  </w:style>
  <w:style w:type="paragraph" w:styleId="1154" w:customStyle="1">
    <w:name w:val="段"/>
    <w:next w:val="798"/>
    <w:uiPriority w:val="0"/>
    <w:qFormat/>
    <w:pPr>
      <w:ind w:firstLine="200"/>
      <w:jc w:val="both"/>
    </w:pPr>
    <w:rPr>
      <w:rFonts w:ascii="宋体" w:hAnsi="Times New Roman" w:eastAsia="宋体" w:cs="Times New Roman"/>
      <w:sz w:val="21"/>
      <w:szCs w:val="22"/>
      <w:lang w:val="en-US" w:eastAsia="zh-CN" w:bidi="ar-SA"/>
    </w:rPr>
  </w:style>
  <w:style w:type="paragraph" w:styleId="1155" w:customStyle="1">
    <w:name w:val="纯文本111"/>
    <w:basedOn w:val="798"/>
    <w:uiPriority w:val="0"/>
    <w:qFormat/>
    <w:rPr>
      <w:rFonts w:ascii="宋体" w:hAnsi="Courier New"/>
    </w:rPr>
  </w:style>
  <w:style w:type="character" w:styleId="1156" w:customStyle="1">
    <w:name w:val="纯文本 字符"/>
    <w:basedOn w:val="808"/>
    <w:link w:val="820"/>
    <w:uiPriority w:val="0"/>
    <w:qFormat/>
    <w:rPr>
      <w:rFonts w:hint="eastAsia" w:ascii="宋体" w:hAnsi="Courier New" w:eastAsia="宋体" w:cs="Courier New"/>
      <w:sz w:val="26"/>
    </w:rPr>
  </w:style>
  <w:style w:type="character" w:styleId="1157" w:customStyle="1">
    <w:name w:val="未处理的提及1"/>
    <w:basedOn w:val="808"/>
    <w:uiPriority w:val="99"/>
    <w:semiHidden/>
    <w:unhideWhenUsed/>
    <w:qFormat/>
    <w:rPr>
      <w:color w:val="605e5c"/>
      <w:shd w:val="clear" w:color="auto" w:fill="e1dfdd"/>
    </w:rPr>
  </w:style>
  <w:style w:type="character" w:styleId="1158" w:customStyle="1">
    <w:name w:val="未处理的提及2"/>
    <w:basedOn w:val="808"/>
    <w:uiPriority w:val="99"/>
    <w:semiHidden/>
    <w:unhideWhenUsed/>
    <w:qFormat/>
    <w:rPr>
      <w:color w:val="605e5c"/>
      <w:shd w:val="clear" w:color="auto" w:fill="e1dfdd"/>
    </w:rPr>
  </w:style>
  <w:style w:type="character" w:styleId="1159" w:customStyle="1">
    <w:name w:val="font41"/>
    <w:basedOn w:val="808"/>
    <w:uiPriority w:val="0"/>
    <w:qFormat/>
    <w:rPr>
      <w:rFonts w:ascii="黑体" w:hAnsi="宋体" w:eastAsia="黑体" w:cs="黑体"/>
      <w:color w:val="000000"/>
      <w:sz w:val="18"/>
      <w:szCs w:val="18"/>
      <w:u w:val="none"/>
    </w:rPr>
  </w:style>
  <w:style w:type="character" w:styleId="1160" w:customStyle="1">
    <w:name w:val="font31"/>
    <w:basedOn w:val="808"/>
    <w:uiPriority w:val="0"/>
    <w:qFormat/>
    <w:rPr>
      <w:rFonts w:ascii="方正仿宋_GBK" w:hAnsi="方正仿宋_GBK" w:eastAsia="方正仿宋_GBK" w:cs="方正仿宋_GBK"/>
      <w:color w:val="000000"/>
      <w:sz w:val="18"/>
      <w:szCs w:val="18"/>
      <w:u w:val="none"/>
    </w:rPr>
  </w:style>
  <w:style w:type="paragraph" w:styleId="1161" w:customStyle="1">
    <w:name w:val="Table Text"/>
    <w:basedOn w:val="798"/>
    <w:uiPriority w:val="0"/>
    <w:semiHidden/>
    <w:qFormat/>
    <w:rPr>
      <w:rFonts w:ascii="宋体" w:hAnsi="宋体" w:eastAsia="宋体" w:cs="宋体"/>
      <w:sz w:val="20"/>
      <w:lang w:eastAsia="en-US"/>
    </w:rPr>
  </w:style>
  <w:style w:type="character" w:styleId="1162" w:customStyle="1">
    <w:name w:val="正文缩进 字符"/>
    <w:link w:val="810"/>
    <w:uiPriority w:val="0"/>
    <w:qFormat/>
    <w:rPr>
      <w:rFonts w:eastAsia="楷体_GB2312"/>
      <w:sz w:val="24"/>
    </w:rPr>
  </w:style>
  <w:style w:type="character" w:styleId="1163" w:customStyle="1">
    <w:name w:val="qowt-font2"/>
    <w:uiPriority w:val="0"/>
    <w:qFormat/>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谢爱发</cp:lastModifiedBy>
  <cp:revision>1311</cp:revision>
  <dcterms:created xsi:type="dcterms:W3CDTF">2022-04-11T07:36:00Z</dcterms:created>
  <dcterms:modified xsi:type="dcterms:W3CDTF">2025-12-31T08:09:51Z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1FA9FD743D77444A96CBB942B8B69544_13</vt:lpwstr>
  </property>
  <property fmtid="{D5CDD505-2E9C-101B-9397-08002B2CF9AE}" pid="4" name="KSOTemplateDocerSaveRecord">
    <vt:lpwstr>eyJoZGlkIjoiNzdmOTA4MGI2MDBhZmQ3ZjVlMGNmMDJmNDc3OWYzNGIiLCJ1c2VySWQiOiIyNzYwODQzNzgifQ==</vt:lpwstr>
  </property>
</Properties>
</file>